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5B" w:rsidRDefault="0002144F">
      <w:pPr>
        <w:pStyle w:val="1"/>
        <w:jc w:val="center"/>
      </w:pPr>
      <w:r>
        <w:rPr>
          <w:rFonts w:hint="eastAsia"/>
        </w:rPr>
        <w:t>妈祖素材采购要求</w:t>
      </w:r>
    </w:p>
    <w:p w:rsidR="006C005B" w:rsidRDefault="0002144F">
      <w:pPr>
        <w:pStyle w:val="2"/>
        <w:numPr>
          <w:ilvl w:val="0"/>
          <w:numId w:val="1"/>
        </w:numPr>
      </w:pPr>
      <w:r>
        <w:rPr>
          <w:rFonts w:hint="eastAsia"/>
        </w:rPr>
        <w:t>内容要求</w:t>
      </w:r>
    </w:p>
    <w:p w:rsidR="006C005B" w:rsidRDefault="0002144F">
      <w:pPr>
        <w:numPr>
          <w:ilvl w:val="0"/>
          <w:numId w:val="2"/>
        </w:num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巡安素材</w:t>
      </w:r>
      <w:proofErr w:type="gramEnd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2017年巡安台湾宫</w:t>
      </w:r>
      <w:proofErr w:type="gramEnd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庙</w:t>
      </w:r>
    </w:p>
    <w:p w:rsidR="0002144F" w:rsidRDefault="0002144F" w:rsidP="0002144F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 w:rsidRPr="0002144F"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内容：</w:t>
      </w:r>
      <w:r w:rsidRPr="0002144F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包括金榜等个人画面、服饰、礼仪、信众、台湾宫庙、民俗表演、台湾供品/祭祀典礼/三献礼/林金榜个人画面（如特殊材料制作的关公）等</w:t>
      </w:r>
      <w:r w:rsid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；要求素材中包含以上资料的视频素材片段总和不少于60分钟。不包含以上资料的素材不计入时间段。</w:t>
      </w:r>
    </w:p>
    <w:p w:rsidR="006C005B" w:rsidRPr="0002144F" w:rsidRDefault="0002144F" w:rsidP="0002144F">
      <w:pPr>
        <w:numPr>
          <w:ilvl w:val="0"/>
          <w:numId w:val="3"/>
        </w:num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 w:rsidRPr="0002144F"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要求：</w:t>
      </w:r>
      <w:r w:rsidRPr="0002144F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所提供视频必须有以下画面景别：湄洲妈祖巡台大景、巡台车队大景、朝拜画面大景、妈祖巡游</w:t>
      </w:r>
      <w:proofErr w:type="gramStart"/>
      <w:r w:rsidRPr="0002144F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金身像</w:t>
      </w:r>
      <w:proofErr w:type="gramEnd"/>
      <w:r w:rsidRPr="0002144F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大景、抬妈祖像大景</w:t>
      </w:r>
    </w:p>
    <w:p w:rsidR="006C005B" w:rsidRDefault="0002144F">
      <w:pPr>
        <w:numPr>
          <w:ilvl w:val="0"/>
          <w:numId w:val="2"/>
        </w:num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巡安素材</w:t>
      </w:r>
      <w:proofErr w:type="gramEnd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2017年巡安潮汕</w:t>
      </w:r>
      <w:proofErr w:type="gramEnd"/>
    </w:p>
    <w:p w:rsidR="006C005B" w:rsidRDefault="0002144F">
      <w:pPr>
        <w:numPr>
          <w:ilvl w:val="0"/>
          <w:numId w:val="4"/>
        </w:num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内容：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包括供品、三献礼、民俗表演、服饰、祭祀典礼、金榜个人画面等。</w:t>
      </w:r>
    </w:p>
    <w:p w:rsidR="006C005B" w:rsidRDefault="0002144F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2.要求：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所提供视频必须有以下画面景别：巡游表演大景、渔女举旗子大景、巡游鞭炮开路大景、妈祖庙唱念大景、信众朝拜大景、妈祖夜巡大景</w:t>
      </w:r>
    </w:p>
    <w:p w:rsidR="006C005B" w:rsidRDefault="0002144F">
      <w:pPr>
        <w:numPr>
          <w:ilvl w:val="0"/>
          <w:numId w:val="2"/>
        </w:num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2019年妈祖大典</w:t>
      </w:r>
    </w:p>
    <w:p w:rsidR="006C005B" w:rsidRDefault="0002144F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1.内容：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妈祖323祭祀大典画面、2019年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妈祖圣诞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夜拍摄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素材画面、2019年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妈祖圣诞大典启动仪式</w:t>
      </w:r>
    </w:p>
    <w:p w:rsidR="006C005B" w:rsidRDefault="0002144F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2.要求：</w:t>
      </w:r>
    </w:p>
    <w:p w:rsidR="006C005B" w:rsidRDefault="0002144F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 xml:space="preserve">2.1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妈祖323祭祀大典所提供视频必须有以下画面景别：大典航拍、主席台镜头大景、大典节目表演大景、大典祭拜大景、妈祖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金身像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大景、大典节目表演航拍</w:t>
      </w:r>
    </w:p>
    <w:p w:rsidR="006C005B" w:rsidRDefault="0002144F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lastRenderedPageBreak/>
        <w:t xml:space="preserve">2.2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妈祖圣诞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夜拍摄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素材画面所提供视频必须有以下画面景别：圣诞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夜表演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大景、信众朝拜全景</w:t>
      </w:r>
    </w:p>
    <w:p w:rsidR="006C005B" w:rsidRDefault="0002144F">
      <w:pP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 xml:space="preserve">2.3 </w:t>
      </w: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2019年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妈祖圣诞大典启动仪式所提供视频必须有以下画面景别：</w:t>
      </w:r>
      <w:proofErr w:type="gramStart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湄洲岛</w:t>
      </w:r>
      <w:proofErr w:type="gramEnd"/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航拍、妈祖庙烧香延时、启动仪式表演大景、抬妈祖轿子大景、启动仪式过程大景、妈祖像大景。</w:t>
      </w:r>
    </w:p>
    <w:p w:rsidR="006C005B" w:rsidRDefault="006C005B"/>
    <w:p w:rsidR="006C005B" w:rsidRDefault="0002144F">
      <w:pPr>
        <w:pStyle w:val="2"/>
        <w:numPr>
          <w:ilvl w:val="0"/>
          <w:numId w:val="1"/>
        </w:numPr>
      </w:pPr>
      <w:r>
        <w:rPr>
          <w:rFonts w:hint="eastAsia"/>
        </w:rPr>
        <w:t>视频图像质量要求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格式：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MP4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分辨率：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1920*1080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及以上；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帧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速率：≥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25fps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视频画幅宽高比：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16:9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视频码率（编码）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: H.264/AVC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≥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1024kbps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音频码率（编码）：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AAC(MPEG4 Part3)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≥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128Kbps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pStyle w:val="a3"/>
        <w:widowControl/>
        <w:shd w:val="clear" w:color="auto" w:fill="FFFFFF"/>
        <w:spacing w:beforeAutospacing="0" w:after="165" w:afterAutospacing="0" w:line="26" w:lineRule="atLeast"/>
        <w:jc w:val="both"/>
        <w:rPr>
          <w:rFonts w:ascii="微软雅黑" w:eastAsia="微软雅黑" w:hAnsi="微软雅黑" w:cs="微软雅黑"/>
          <w:color w:val="333333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采样率：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48KHz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:rsidR="006C005B" w:rsidRDefault="0002144F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样搞核验</w:t>
      </w:r>
      <w:proofErr w:type="gramEnd"/>
      <w:r>
        <w:rPr>
          <w:rFonts w:hint="eastAsia"/>
        </w:rPr>
        <w:t>要求</w:t>
      </w:r>
    </w:p>
    <w:p w:rsidR="0002144F" w:rsidRPr="00F56743" w:rsidRDefault="0002144F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  <w:r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因本项目素材的特殊性，要求各潜在投标人于投标截止时间前</w:t>
      </w:r>
      <w:r w:rsidR="00F56743"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将本项目需求素材送达至采购</w:t>
      </w:r>
      <w:proofErr w:type="gramStart"/>
      <w:r w:rsidR="00F56743"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方现场</w:t>
      </w:r>
      <w:proofErr w:type="gramEnd"/>
      <w:r w:rsidR="00F56743"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演示，演示设备由投标人自备，各潜在投标人应特别注意，采购方联系人：吴先生，联系电话：</w:t>
      </w:r>
      <w:r w:rsidR="00F56743"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1</w:t>
      </w:r>
      <w:r w:rsidR="00F56743" w:rsidRPr="00F56743"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t>3067361766</w:t>
      </w:r>
      <w:r w:rsidR="00F56743" w:rsidRPr="00F56743"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>。</w:t>
      </w:r>
      <w:bookmarkStart w:id="0" w:name="_GoBack"/>
      <w:bookmarkEnd w:id="0"/>
    </w:p>
    <w:p w:rsidR="006C005B" w:rsidRDefault="006C005B"/>
    <w:sectPr w:rsidR="006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4F" w:rsidRDefault="0002144F" w:rsidP="0002144F">
      <w:r>
        <w:separator/>
      </w:r>
    </w:p>
  </w:endnote>
  <w:endnote w:type="continuationSeparator" w:id="0">
    <w:p w:rsidR="0002144F" w:rsidRDefault="0002144F" w:rsidP="000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4F" w:rsidRDefault="0002144F" w:rsidP="0002144F">
      <w:r>
        <w:separator/>
      </w:r>
    </w:p>
  </w:footnote>
  <w:footnote w:type="continuationSeparator" w:id="0">
    <w:p w:rsidR="0002144F" w:rsidRDefault="0002144F" w:rsidP="0002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33F8D"/>
    <w:multiLevelType w:val="singleLevel"/>
    <w:tmpl w:val="ADD33F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425660"/>
    <w:multiLevelType w:val="singleLevel"/>
    <w:tmpl w:val="DF4256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0F7C75"/>
    <w:multiLevelType w:val="singleLevel"/>
    <w:tmpl w:val="100F7C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C25CFC3"/>
    <w:multiLevelType w:val="singleLevel"/>
    <w:tmpl w:val="7C25CF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714A"/>
    <w:rsid w:val="0002144F"/>
    <w:rsid w:val="006C005B"/>
    <w:rsid w:val="00F56743"/>
    <w:rsid w:val="05D27CA8"/>
    <w:rsid w:val="1B24714A"/>
    <w:rsid w:val="1B9867E6"/>
    <w:rsid w:val="40940F94"/>
    <w:rsid w:val="556F2C52"/>
    <w:rsid w:val="68B873AF"/>
    <w:rsid w:val="6B6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级标题"/>
    <w:basedOn w:val="2"/>
    <w:next w:val="a"/>
    <w:qFormat/>
    <w:rPr>
      <w:rFonts w:eastAsia="微软雅黑" w:cs="Times New Roman"/>
      <w:b w:val="0"/>
      <w:szCs w:val="22"/>
    </w:rPr>
  </w:style>
  <w:style w:type="paragraph" w:customStyle="1" w:styleId="A5">
    <w:name w:val="标题A"/>
    <w:basedOn w:val="a"/>
    <w:qFormat/>
    <w:pPr>
      <w:spacing w:line="360" w:lineRule="auto"/>
    </w:pPr>
    <w:rPr>
      <w:rFonts w:ascii="Calibri" w:eastAsia="宋体" w:hAnsi="Calibri" w:cs="Times New Roman"/>
      <w:color w:val="FFFFFF" w:themeColor="background1"/>
      <w:sz w:val="52"/>
      <w:szCs w:val="22"/>
    </w:rPr>
  </w:style>
  <w:style w:type="paragraph" w:customStyle="1" w:styleId="B">
    <w:name w:val="标题B"/>
    <w:basedOn w:val="a"/>
    <w:qFormat/>
    <w:pPr>
      <w:spacing w:line="360" w:lineRule="auto"/>
    </w:pPr>
    <w:rPr>
      <w:rFonts w:ascii="Calibri" w:eastAsia="微软雅黑" w:hAnsi="Calibri" w:cs="Times New Roman"/>
      <w:color w:val="FFFFFF" w:themeColor="background1"/>
      <w:sz w:val="44"/>
      <w:szCs w:val="22"/>
    </w:rPr>
  </w:style>
  <w:style w:type="paragraph" w:styleId="a6">
    <w:name w:val="header"/>
    <w:basedOn w:val="a"/>
    <w:link w:val="Char"/>
    <w:rsid w:val="0002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14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14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级标题"/>
    <w:basedOn w:val="2"/>
    <w:next w:val="a"/>
    <w:qFormat/>
    <w:rPr>
      <w:rFonts w:eastAsia="微软雅黑" w:cs="Times New Roman"/>
      <w:b w:val="0"/>
      <w:szCs w:val="22"/>
    </w:rPr>
  </w:style>
  <w:style w:type="paragraph" w:customStyle="1" w:styleId="A5">
    <w:name w:val="标题A"/>
    <w:basedOn w:val="a"/>
    <w:qFormat/>
    <w:pPr>
      <w:spacing w:line="360" w:lineRule="auto"/>
    </w:pPr>
    <w:rPr>
      <w:rFonts w:ascii="Calibri" w:eastAsia="宋体" w:hAnsi="Calibri" w:cs="Times New Roman"/>
      <w:color w:val="FFFFFF" w:themeColor="background1"/>
      <w:sz w:val="52"/>
      <w:szCs w:val="22"/>
    </w:rPr>
  </w:style>
  <w:style w:type="paragraph" w:customStyle="1" w:styleId="B">
    <w:name w:val="标题B"/>
    <w:basedOn w:val="a"/>
    <w:qFormat/>
    <w:pPr>
      <w:spacing w:line="360" w:lineRule="auto"/>
    </w:pPr>
    <w:rPr>
      <w:rFonts w:ascii="Calibri" w:eastAsia="微软雅黑" w:hAnsi="Calibri" w:cs="Times New Roman"/>
      <w:color w:val="FFFFFF" w:themeColor="background1"/>
      <w:sz w:val="44"/>
      <w:szCs w:val="22"/>
    </w:rPr>
  </w:style>
  <w:style w:type="paragraph" w:styleId="a6">
    <w:name w:val="header"/>
    <w:basedOn w:val="a"/>
    <w:link w:val="Char"/>
    <w:rsid w:val="0002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14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14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739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郑鱼称</dc:creator>
  <cp:lastModifiedBy>Windows</cp:lastModifiedBy>
  <cp:revision>2</cp:revision>
  <dcterms:created xsi:type="dcterms:W3CDTF">2019-11-27T15:53:00Z</dcterms:created>
  <dcterms:modified xsi:type="dcterms:W3CDTF">2019-12-06T13:08:00Z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