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05" w:rsidRDefault="00E22005" w:rsidP="003E19BB">
      <w:pPr>
        <w:pStyle w:val="ListParagraph"/>
        <w:tabs>
          <w:tab w:val="left" w:pos="567"/>
        </w:tabs>
        <w:spacing w:beforeLines="50" w:line="360" w:lineRule="auto"/>
        <w:ind w:firstLineChars="0" w:firstLine="0"/>
        <w:jc w:val="center"/>
        <w:outlineLvl w:val="0"/>
        <w:rPr>
          <w:rFonts w:ascii="宋体"/>
          <w:b/>
          <w:sz w:val="24"/>
          <w:szCs w:val="24"/>
        </w:rPr>
      </w:pPr>
      <w:bookmarkStart w:id="0" w:name="_GoBack"/>
      <w:bookmarkEnd w:id="0"/>
      <w:r>
        <w:rPr>
          <w:rFonts w:ascii="宋体" w:hAnsi="宋体" w:hint="eastAsia"/>
          <w:b/>
          <w:sz w:val="24"/>
          <w:szCs w:val="24"/>
        </w:rPr>
        <w:t>莆田监狱门禁系统设计项目</w:t>
      </w:r>
    </w:p>
    <w:p w:rsidR="00E22005" w:rsidRDefault="00E22005" w:rsidP="003E19BB">
      <w:pPr>
        <w:pStyle w:val="ListParagraph"/>
        <w:numPr>
          <w:ilvl w:val="0"/>
          <w:numId w:val="1"/>
        </w:numPr>
        <w:tabs>
          <w:tab w:val="left" w:pos="567"/>
        </w:tabs>
        <w:spacing w:beforeLines="50" w:line="360" w:lineRule="auto"/>
        <w:ind w:left="482" w:firstLineChars="0" w:hanging="482"/>
        <w:outlineLvl w:val="0"/>
        <w:rPr>
          <w:rFonts w:ascii="宋体"/>
          <w:b/>
          <w:sz w:val="24"/>
          <w:szCs w:val="24"/>
        </w:rPr>
      </w:pPr>
      <w:r>
        <w:rPr>
          <w:rFonts w:ascii="宋体" w:hAnsi="宋体" w:hint="eastAsia"/>
          <w:b/>
          <w:sz w:val="24"/>
          <w:szCs w:val="24"/>
        </w:rPr>
        <w:t>设计项目概况</w:t>
      </w:r>
    </w:p>
    <w:p w:rsidR="00E22005" w:rsidRDefault="00E22005">
      <w:pPr>
        <w:tabs>
          <w:tab w:val="left" w:pos="709"/>
          <w:tab w:val="left" w:pos="993"/>
        </w:tabs>
        <w:spacing w:line="360" w:lineRule="auto"/>
        <w:rPr>
          <w:rFonts w:ascii="宋体"/>
          <w:sz w:val="24"/>
        </w:rPr>
      </w:pPr>
      <w:r>
        <w:rPr>
          <w:rFonts w:ascii="宋体" w:hAnsi="宋体"/>
          <w:sz w:val="24"/>
          <w:szCs w:val="24"/>
        </w:rPr>
        <w:t xml:space="preserve">    </w:t>
      </w:r>
      <w:r>
        <w:rPr>
          <w:rFonts w:ascii="宋体" w:hAnsi="宋体" w:hint="eastAsia"/>
          <w:sz w:val="24"/>
        </w:rPr>
        <w:t>监狱是国家一级风险单位，作为国家的司法行政机关，承担着正确执行刑罚、惩罚和改造罪犯、预防和减少犯罪的重要任务。本次建设的福建省莆田监狱位于福建省莆田市涵江区新涵大街，总建筑面积约</w:t>
      </w:r>
      <w:r>
        <w:rPr>
          <w:rFonts w:ascii="宋体" w:hAnsi="宋体"/>
          <w:sz w:val="24"/>
        </w:rPr>
        <w:t>14</w:t>
      </w:r>
      <w:r>
        <w:rPr>
          <w:rFonts w:ascii="宋体" w:hAnsi="宋体" w:hint="eastAsia"/>
          <w:sz w:val="24"/>
        </w:rPr>
        <w:t>万平方米，监区建筑约</w:t>
      </w:r>
      <w:r>
        <w:rPr>
          <w:rFonts w:ascii="宋体" w:hAnsi="宋体"/>
          <w:sz w:val="24"/>
        </w:rPr>
        <w:t>10</w:t>
      </w:r>
      <w:r>
        <w:rPr>
          <w:rFonts w:ascii="宋体" w:hAnsi="宋体" w:hint="eastAsia"/>
          <w:sz w:val="24"/>
        </w:rPr>
        <w:t>万平方米，监狱总平划分为监区、行政区、武警营房区。为加强现有监狱的安防建设和提高监狱的管理水平，福建省莆田监狱对现有监狱大门门禁系统进行安防升级改造，具体设计内容包括监狱大门不锈钢防暴旋转门、生物识别门禁系统、人脸识别监控联动系统等。</w:t>
      </w:r>
    </w:p>
    <w:p w:rsidR="00E22005" w:rsidRDefault="00E22005" w:rsidP="003E19BB">
      <w:pPr>
        <w:pStyle w:val="ListParagraph"/>
        <w:numPr>
          <w:ilvl w:val="0"/>
          <w:numId w:val="1"/>
        </w:numPr>
        <w:tabs>
          <w:tab w:val="left" w:pos="567"/>
        </w:tabs>
        <w:spacing w:beforeLines="50" w:line="360" w:lineRule="auto"/>
        <w:ind w:left="482" w:firstLineChars="0" w:hanging="482"/>
        <w:outlineLvl w:val="0"/>
        <w:rPr>
          <w:rFonts w:ascii="宋体"/>
          <w:b/>
          <w:sz w:val="24"/>
          <w:szCs w:val="24"/>
        </w:rPr>
      </w:pPr>
      <w:r>
        <w:rPr>
          <w:rFonts w:ascii="宋体" w:hAnsi="宋体" w:hint="eastAsia"/>
          <w:b/>
          <w:sz w:val="24"/>
          <w:szCs w:val="24"/>
        </w:rPr>
        <w:t>竞价供应商资质要求</w:t>
      </w:r>
    </w:p>
    <w:p w:rsidR="00E22005" w:rsidRDefault="00E22005">
      <w:pPr>
        <w:pStyle w:val="ListParagraph"/>
        <w:numPr>
          <w:ilvl w:val="0"/>
          <w:numId w:val="2"/>
        </w:numPr>
        <w:tabs>
          <w:tab w:val="left" w:pos="709"/>
        </w:tabs>
        <w:spacing w:line="360" w:lineRule="auto"/>
        <w:ind w:left="567" w:firstLineChars="0" w:hanging="425"/>
        <w:rPr>
          <w:rFonts w:ascii="宋体"/>
          <w:sz w:val="24"/>
          <w:szCs w:val="24"/>
        </w:rPr>
      </w:pPr>
      <w:r>
        <w:rPr>
          <w:rFonts w:ascii="宋体" w:hAnsi="宋体" w:hint="eastAsia"/>
          <w:sz w:val="24"/>
          <w:szCs w:val="24"/>
        </w:rPr>
        <w:t>竞价供应商具备安防工程设计施工三级资质；</w:t>
      </w:r>
    </w:p>
    <w:p w:rsidR="00E22005" w:rsidRDefault="00E22005" w:rsidP="003E19BB">
      <w:pPr>
        <w:pStyle w:val="ListParagraph"/>
        <w:numPr>
          <w:ilvl w:val="0"/>
          <w:numId w:val="1"/>
        </w:numPr>
        <w:tabs>
          <w:tab w:val="left" w:pos="567"/>
        </w:tabs>
        <w:spacing w:beforeLines="50" w:line="360" w:lineRule="auto"/>
        <w:ind w:left="482" w:firstLineChars="0" w:hanging="482"/>
        <w:outlineLvl w:val="0"/>
        <w:rPr>
          <w:rFonts w:ascii="宋体"/>
          <w:b/>
          <w:sz w:val="24"/>
          <w:szCs w:val="24"/>
        </w:rPr>
      </w:pPr>
      <w:r>
        <w:rPr>
          <w:rFonts w:ascii="宋体" w:hAnsi="宋体" w:hint="eastAsia"/>
          <w:b/>
          <w:sz w:val="24"/>
          <w:szCs w:val="24"/>
        </w:rPr>
        <w:t>设计服务要求</w:t>
      </w:r>
    </w:p>
    <w:p w:rsidR="00E22005" w:rsidRDefault="00E22005">
      <w:pPr>
        <w:pStyle w:val="ListParagraph"/>
        <w:numPr>
          <w:ilvl w:val="0"/>
          <w:numId w:val="3"/>
        </w:numPr>
        <w:tabs>
          <w:tab w:val="left" w:pos="567"/>
        </w:tabs>
        <w:spacing w:line="360" w:lineRule="auto"/>
        <w:ind w:firstLineChars="0" w:hanging="218"/>
        <w:rPr>
          <w:rFonts w:ascii="宋体"/>
          <w:b/>
          <w:sz w:val="24"/>
          <w:szCs w:val="24"/>
        </w:rPr>
      </w:pPr>
      <w:r>
        <w:rPr>
          <w:rFonts w:ascii="宋体" w:hAnsi="宋体" w:hint="eastAsia"/>
          <w:b/>
          <w:sz w:val="24"/>
          <w:szCs w:val="24"/>
        </w:rPr>
        <w:t>设计服务基本要求</w:t>
      </w:r>
    </w:p>
    <w:p w:rsidR="00E22005" w:rsidRDefault="00E22005">
      <w:pPr>
        <w:numPr>
          <w:ilvl w:val="0"/>
          <w:numId w:val="4"/>
        </w:numPr>
        <w:adjustRightInd w:val="0"/>
        <w:spacing w:line="360" w:lineRule="auto"/>
        <w:rPr>
          <w:rFonts w:ascii="宋体"/>
          <w:spacing w:val="2"/>
          <w:position w:val="2"/>
          <w:sz w:val="24"/>
          <w:szCs w:val="24"/>
        </w:rPr>
      </w:pPr>
      <w:r>
        <w:rPr>
          <w:rFonts w:ascii="宋体" w:hAnsi="宋体" w:hint="eastAsia"/>
          <w:spacing w:val="2"/>
          <w:position w:val="2"/>
          <w:sz w:val="24"/>
          <w:szCs w:val="24"/>
        </w:rPr>
        <w:t>竞价供应商应依据项目设计合同的规定，通过有效地计划、组织和协调，按时完成合同规定的设计任务，保证设计质量、合理控制工程投资，为建设各方提供优良的设计服务。</w:t>
      </w:r>
    </w:p>
    <w:p w:rsidR="00E22005" w:rsidRDefault="00E22005">
      <w:pPr>
        <w:numPr>
          <w:ilvl w:val="0"/>
          <w:numId w:val="4"/>
        </w:numPr>
        <w:adjustRightInd w:val="0"/>
        <w:spacing w:line="360" w:lineRule="auto"/>
        <w:rPr>
          <w:rFonts w:ascii="宋体"/>
          <w:spacing w:val="2"/>
          <w:position w:val="2"/>
          <w:sz w:val="24"/>
          <w:szCs w:val="24"/>
        </w:rPr>
      </w:pPr>
      <w:r>
        <w:rPr>
          <w:rFonts w:ascii="宋体" w:hAnsi="宋体" w:hint="eastAsia"/>
          <w:sz w:val="24"/>
          <w:szCs w:val="24"/>
        </w:rPr>
        <w:t>承担方案设计及其后续设计服务的竞价供应商，若采购单位（委托单位）或其上级主管部门认为有必要的话，则应按其要求进行技术设计，编制技术设计文件及相应修正概算，竞价供应商应予以配合执行，且编制费用已包括在设计费总额中。</w:t>
      </w:r>
    </w:p>
    <w:p w:rsidR="00E22005" w:rsidRDefault="00E22005">
      <w:pPr>
        <w:numPr>
          <w:ilvl w:val="0"/>
          <w:numId w:val="4"/>
        </w:numPr>
        <w:adjustRightInd w:val="0"/>
        <w:spacing w:line="360" w:lineRule="auto"/>
        <w:rPr>
          <w:rFonts w:ascii="宋体"/>
          <w:spacing w:val="2"/>
          <w:position w:val="2"/>
          <w:sz w:val="24"/>
          <w:szCs w:val="24"/>
        </w:rPr>
      </w:pPr>
      <w:r>
        <w:rPr>
          <w:rFonts w:ascii="宋体" w:hAnsi="宋体" w:hint="eastAsia"/>
          <w:sz w:val="24"/>
          <w:szCs w:val="24"/>
        </w:rPr>
        <w:t>委托单位认为有必要分标段进行施工竞价的话，则竞价供应商应按其要求分别提交竞价项目所需的图纸、文件资料，满足采购单位的竞价需要。</w:t>
      </w:r>
    </w:p>
    <w:p w:rsidR="00E22005" w:rsidRDefault="00E22005">
      <w:pPr>
        <w:numPr>
          <w:ilvl w:val="0"/>
          <w:numId w:val="4"/>
        </w:numPr>
        <w:adjustRightInd w:val="0"/>
        <w:spacing w:line="360" w:lineRule="auto"/>
        <w:rPr>
          <w:rFonts w:ascii="宋体"/>
          <w:spacing w:val="2"/>
          <w:position w:val="2"/>
          <w:sz w:val="24"/>
          <w:szCs w:val="24"/>
        </w:rPr>
      </w:pPr>
      <w:r>
        <w:rPr>
          <w:rFonts w:ascii="宋体" w:hAnsi="宋体" w:hint="eastAsia"/>
          <w:sz w:val="24"/>
          <w:szCs w:val="24"/>
        </w:rPr>
        <w:t>工程施工时，应按照规定派驻工地设计代表，协助业主解决各种与设计有关的问题，包括修改完善设计或局部变更设计。</w:t>
      </w:r>
    </w:p>
    <w:p w:rsidR="00E22005" w:rsidRDefault="00E22005">
      <w:pPr>
        <w:numPr>
          <w:ilvl w:val="0"/>
          <w:numId w:val="4"/>
        </w:numPr>
        <w:adjustRightInd w:val="0"/>
        <w:spacing w:line="360" w:lineRule="auto"/>
        <w:rPr>
          <w:rFonts w:ascii="宋体"/>
          <w:spacing w:val="2"/>
          <w:position w:val="2"/>
          <w:sz w:val="24"/>
          <w:szCs w:val="24"/>
        </w:rPr>
      </w:pPr>
      <w:r>
        <w:rPr>
          <w:rFonts w:ascii="宋体" w:hAnsi="宋体" w:hint="eastAsia"/>
          <w:sz w:val="24"/>
          <w:szCs w:val="24"/>
        </w:rPr>
        <w:t>竞价供应商所做的设计应当符合设计标准和规范要求，由于设计失误引起重大设计变更造成采购单位的工程费用增加的，竞价供应商应赔偿损失。</w:t>
      </w:r>
    </w:p>
    <w:p w:rsidR="00E22005" w:rsidRDefault="00E22005">
      <w:pPr>
        <w:pStyle w:val="ListParagraph"/>
        <w:numPr>
          <w:ilvl w:val="0"/>
          <w:numId w:val="3"/>
        </w:numPr>
        <w:tabs>
          <w:tab w:val="left" w:pos="567"/>
        </w:tabs>
        <w:spacing w:line="360" w:lineRule="auto"/>
        <w:ind w:firstLineChars="0" w:hanging="218"/>
        <w:rPr>
          <w:rFonts w:ascii="宋体"/>
          <w:b/>
          <w:sz w:val="24"/>
          <w:szCs w:val="24"/>
        </w:rPr>
      </w:pPr>
      <w:r>
        <w:rPr>
          <w:rFonts w:ascii="宋体" w:hAnsi="宋体" w:hint="eastAsia"/>
          <w:b/>
          <w:sz w:val="24"/>
          <w:szCs w:val="24"/>
        </w:rPr>
        <w:t>对竞价供应商员的基本要求</w:t>
      </w:r>
    </w:p>
    <w:p w:rsidR="00E22005" w:rsidRDefault="00E22005">
      <w:pPr>
        <w:numPr>
          <w:ilvl w:val="0"/>
          <w:numId w:val="5"/>
        </w:numPr>
        <w:adjustRightInd w:val="0"/>
        <w:spacing w:line="360" w:lineRule="auto"/>
        <w:rPr>
          <w:rFonts w:ascii="宋体"/>
          <w:sz w:val="24"/>
          <w:szCs w:val="24"/>
        </w:rPr>
      </w:pPr>
      <w:r>
        <w:rPr>
          <w:rFonts w:ascii="宋体" w:hAnsi="宋体" w:hint="eastAsia"/>
          <w:sz w:val="24"/>
          <w:szCs w:val="24"/>
        </w:rPr>
        <w:t>中标供应商委派的竞价供应商员应在相应的设计文件上签字，并参加建设单位主持召开的与设计有关的会议，处理和解决与设计有关的问题。</w:t>
      </w:r>
    </w:p>
    <w:p w:rsidR="00E22005" w:rsidRDefault="00E22005">
      <w:pPr>
        <w:numPr>
          <w:ilvl w:val="0"/>
          <w:numId w:val="5"/>
        </w:numPr>
        <w:adjustRightInd w:val="0"/>
        <w:spacing w:line="360" w:lineRule="auto"/>
        <w:rPr>
          <w:rFonts w:ascii="宋体"/>
          <w:sz w:val="24"/>
          <w:szCs w:val="24"/>
        </w:rPr>
      </w:pPr>
      <w:r>
        <w:rPr>
          <w:rFonts w:ascii="宋体" w:hAnsi="宋体" w:hint="eastAsia"/>
          <w:sz w:val="24"/>
          <w:szCs w:val="24"/>
        </w:rPr>
        <w:t>竞价供应商员应有良好的职业道德和严谨的工作作风，在设计过程中不得向施工方介绍指定分包商和供应商。</w:t>
      </w:r>
    </w:p>
    <w:p w:rsidR="00E22005" w:rsidRDefault="00E22005">
      <w:pPr>
        <w:numPr>
          <w:ilvl w:val="0"/>
          <w:numId w:val="5"/>
        </w:numPr>
        <w:adjustRightInd w:val="0"/>
        <w:spacing w:line="360" w:lineRule="auto"/>
        <w:rPr>
          <w:rFonts w:ascii="宋体"/>
          <w:sz w:val="24"/>
          <w:szCs w:val="24"/>
        </w:rPr>
      </w:pPr>
      <w:r>
        <w:rPr>
          <w:rFonts w:ascii="宋体" w:hAnsi="宋体" w:hint="eastAsia"/>
          <w:sz w:val="24"/>
          <w:szCs w:val="24"/>
        </w:rPr>
        <w:t>中标供应商应按建设单位需求指派</w:t>
      </w:r>
      <w:r>
        <w:rPr>
          <w:rFonts w:ascii="宋体" w:hAnsi="宋体"/>
          <w:sz w:val="24"/>
          <w:szCs w:val="24"/>
        </w:rPr>
        <w:t>1</w:t>
      </w:r>
      <w:r>
        <w:rPr>
          <w:rFonts w:ascii="宋体" w:hAnsi="宋体" w:hint="eastAsia"/>
          <w:sz w:val="24"/>
          <w:szCs w:val="24"/>
        </w:rPr>
        <w:t>名常驻施工现场设计代表，如有不尽其职或虚挂其名的情况，建设单位有权要求调换具有相应资历的人选的权利，直至有权要求设计单位退场并单方面终止合同。</w:t>
      </w:r>
    </w:p>
    <w:p w:rsidR="00E22005" w:rsidRDefault="00E22005">
      <w:pPr>
        <w:pStyle w:val="ListParagraph"/>
        <w:numPr>
          <w:ilvl w:val="0"/>
          <w:numId w:val="3"/>
        </w:numPr>
        <w:tabs>
          <w:tab w:val="left" w:pos="567"/>
        </w:tabs>
        <w:spacing w:line="360" w:lineRule="auto"/>
        <w:ind w:firstLineChars="0" w:hanging="218"/>
        <w:rPr>
          <w:rFonts w:ascii="宋体"/>
          <w:b/>
          <w:sz w:val="24"/>
          <w:szCs w:val="24"/>
        </w:rPr>
      </w:pPr>
      <w:r>
        <w:rPr>
          <w:rFonts w:ascii="宋体" w:hAnsi="宋体" w:hint="eastAsia"/>
          <w:b/>
          <w:sz w:val="24"/>
          <w:szCs w:val="24"/>
        </w:rPr>
        <w:t>其他补充条款：</w:t>
      </w:r>
      <w:r>
        <w:rPr>
          <w:rFonts w:ascii="宋体" w:hAnsi="宋体"/>
          <w:b/>
          <w:sz w:val="24"/>
          <w:szCs w:val="24"/>
        </w:rPr>
        <w:t xml:space="preserve"> </w:t>
      </w:r>
    </w:p>
    <w:p w:rsidR="00E22005" w:rsidRDefault="00E22005">
      <w:pPr>
        <w:pStyle w:val="ListParagraph"/>
        <w:numPr>
          <w:ilvl w:val="0"/>
          <w:numId w:val="6"/>
        </w:numPr>
        <w:spacing w:line="360" w:lineRule="auto"/>
        <w:ind w:firstLineChars="0"/>
        <w:rPr>
          <w:rFonts w:ascii="宋体"/>
          <w:sz w:val="24"/>
          <w:szCs w:val="24"/>
        </w:rPr>
      </w:pPr>
      <w:r>
        <w:rPr>
          <w:rFonts w:ascii="宋体" w:hAnsi="宋体" w:hint="eastAsia"/>
          <w:sz w:val="24"/>
          <w:szCs w:val="24"/>
        </w:rPr>
        <w:t>设计单位的设计深度和设计完整度必须满足相关规定要求。</w:t>
      </w:r>
    </w:p>
    <w:p w:rsidR="00E22005" w:rsidRDefault="00E22005">
      <w:pPr>
        <w:pStyle w:val="ListParagraph"/>
        <w:numPr>
          <w:ilvl w:val="0"/>
          <w:numId w:val="6"/>
        </w:numPr>
        <w:spacing w:line="360" w:lineRule="auto"/>
        <w:ind w:firstLineChars="0"/>
        <w:rPr>
          <w:rFonts w:ascii="宋体"/>
          <w:sz w:val="24"/>
          <w:szCs w:val="24"/>
        </w:rPr>
      </w:pPr>
      <w:r>
        <w:rPr>
          <w:rFonts w:ascii="宋体" w:hAnsi="宋体" w:hint="eastAsia"/>
          <w:sz w:val="24"/>
          <w:szCs w:val="24"/>
        </w:rPr>
        <w:t>设计单位各专业竞价供应商员应及时解决本工程施工过程中技术问题并及时签发设计变更、设计修改及工程联系单等与工程有关的文件，由此产生的交通费用由设计单位自行解决。</w:t>
      </w:r>
    </w:p>
    <w:p w:rsidR="00E22005" w:rsidRDefault="00E22005">
      <w:pPr>
        <w:pStyle w:val="ListParagraph"/>
        <w:numPr>
          <w:ilvl w:val="0"/>
          <w:numId w:val="6"/>
        </w:numPr>
        <w:spacing w:line="360" w:lineRule="auto"/>
        <w:ind w:firstLineChars="0"/>
        <w:rPr>
          <w:rFonts w:ascii="宋体"/>
          <w:sz w:val="24"/>
          <w:szCs w:val="24"/>
        </w:rPr>
      </w:pPr>
      <w:r>
        <w:rPr>
          <w:rFonts w:ascii="宋体" w:hAnsi="宋体" w:hint="eastAsia"/>
          <w:sz w:val="24"/>
          <w:szCs w:val="24"/>
        </w:rPr>
        <w:t>设计单位必须提供足够数量的设计文件供建设单位报审之用，并向建设单位提供经有关部门审批后合格的设计文件</w:t>
      </w:r>
      <w:r>
        <w:rPr>
          <w:rFonts w:ascii="宋体" w:hAnsi="宋体"/>
          <w:sz w:val="24"/>
          <w:szCs w:val="24"/>
        </w:rPr>
        <w:t>(</w:t>
      </w:r>
      <w:r>
        <w:rPr>
          <w:rFonts w:ascii="宋体" w:hAnsi="宋体" w:hint="eastAsia"/>
          <w:sz w:val="24"/>
          <w:szCs w:val="24"/>
        </w:rPr>
        <w:t>含施工图纸</w:t>
      </w:r>
      <w:r>
        <w:rPr>
          <w:rFonts w:ascii="宋体" w:hAnsi="宋体"/>
          <w:sz w:val="24"/>
          <w:szCs w:val="24"/>
        </w:rPr>
        <w:t>)</w:t>
      </w:r>
      <w:r>
        <w:rPr>
          <w:rFonts w:ascii="宋体" w:hAnsi="宋体" w:hint="eastAsia"/>
          <w:sz w:val="24"/>
          <w:szCs w:val="24"/>
        </w:rPr>
        <w:t>；上述设计文件、图纸的费用均已包含在设计费中，建设单位不再另行支付。</w:t>
      </w:r>
    </w:p>
    <w:p w:rsidR="00E22005" w:rsidRDefault="00E22005">
      <w:pPr>
        <w:pStyle w:val="ListParagraph"/>
        <w:numPr>
          <w:ilvl w:val="0"/>
          <w:numId w:val="6"/>
        </w:numPr>
        <w:spacing w:line="360" w:lineRule="auto"/>
        <w:ind w:firstLineChars="0"/>
        <w:rPr>
          <w:rFonts w:ascii="宋体"/>
          <w:sz w:val="24"/>
          <w:szCs w:val="24"/>
        </w:rPr>
      </w:pPr>
      <w:r>
        <w:rPr>
          <w:rFonts w:ascii="宋体" w:hAnsi="宋体" w:hint="eastAsia"/>
          <w:sz w:val="24"/>
          <w:szCs w:val="24"/>
        </w:rPr>
        <w:t>设计文件（施工设计图）审批过程中所修改、增加的设计文件均由设计单位无偿提供。</w:t>
      </w:r>
    </w:p>
    <w:p w:rsidR="00E22005" w:rsidRDefault="00E22005">
      <w:pPr>
        <w:tabs>
          <w:tab w:val="left" w:pos="709"/>
          <w:tab w:val="left" w:pos="993"/>
        </w:tabs>
        <w:spacing w:line="360" w:lineRule="auto"/>
        <w:ind w:left="993"/>
        <w:rPr>
          <w:rFonts w:ascii="宋体"/>
          <w:sz w:val="24"/>
          <w:szCs w:val="24"/>
        </w:rPr>
      </w:pPr>
    </w:p>
    <w:sectPr w:rsidR="00E22005" w:rsidSect="00EF41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05" w:rsidRDefault="00E22005" w:rsidP="00EF4184">
      <w:r>
        <w:separator/>
      </w:r>
    </w:p>
  </w:endnote>
  <w:endnote w:type="continuationSeparator" w:id="0">
    <w:p w:rsidR="00E22005" w:rsidRDefault="00E22005" w:rsidP="00EF4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05" w:rsidRDefault="00E22005">
    <w:pPr>
      <w:pStyle w:val="Footer"/>
      <w:jc w:val="center"/>
    </w:pPr>
    <w:fldSimple w:instr="PAGE   \* MERGEFORMAT">
      <w:r w:rsidRPr="00F3569C">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05" w:rsidRDefault="00E22005" w:rsidP="00EF4184">
      <w:r>
        <w:separator/>
      </w:r>
    </w:p>
  </w:footnote>
  <w:footnote w:type="continuationSeparator" w:id="0">
    <w:p w:rsidR="00E22005" w:rsidRDefault="00E22005" w:rsidP="00EF4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32E"/>
    <w:multiLevelType w:val="multilevel"/>
    <w:tmpl w:val="14A353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12C6D1F"/>
    <w:multiLevelType w:val="multilevel"/>
    <w:tmpl w:val="412C6D1F"/>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5615858"/>
    <w:multiLevelType w:val="multilevel"/>
    <w:tmpl w:val="456158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1CE00CD"/>
    <w:multiLevelType w:val="multilevel"/>
    <w:tmpl w:val="51CE00CD"/>
    <w:lvl w:ilvl="0">
      <w:start w:val="1"/>
      <w:numFmt w:val="upperLetter"/>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69436DE0"/>
    <w:multiLevelType w:val="multilevel"/>
    <w:tmpl w:val="69436DE0"/>
    <w:lvl w:ilvl="0">
      <w:start w:val="1"/>
      <w:numFmt w:val="upperLetter"/>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D15519C"/>
    <w:multiLevelType w:val="multilevel"/>
    <w:tmpl w:val="7D15519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0"/>
  </w:num>
  <w:num w:numId="4">
    <w:abstractNumId w:val="3"/>
    <w:lvlOverride w:ilvl="0">
      <w:startOverride w:val="1"/>
      <w:lvl w:ilvl="0">
        <w:start w:val="1"/>
        <w:numFmt w:val="upperLetter"/>
        <w:lvlText w:val="%1."/>
        <w:lvlJc w:val="left"/>
        <w:pPr>
          <w:tabs>
            <w:tab w:val="left" w:pos="624"/>
          </w:tabs>
          <w:ind w:firstLine="510"/>
        </w:pPr>
        <w:rPr>
          <w:rFonts w:cs="Times New Roman" w:hint="eastAsia"/>
        </w:rPr>
      </w:lvl>
    </w:lvlOverride>
    <w:lvlOverride w:ilvl="1">
      <w:startOverride w:val="1"/>
      <w:lvl w:ilvl="1" w:tentative="1">
        <w:start w:val="1"/>
        <w:numFmt w:val="lowerLetter"/>
        <w:lvlText w:val="%2)"/>
        <w:lvlJc w:val="left"/>
        <w:pPr>
          <w:tabs>
            <w:tab w:val="left" w:pos="840"/>
          </w:tabs>
          <w:ind w:left="840" w:hanging="420"/>
        </w:pPr>
        <w:rPr>
          <w:rFonts w:cs="Times New Roman"/>
        </w:rPr>
      </w:lvl>
    </w:lvlOverride>
    <w:lvlOverride w:ilvl="2">
      <w:startOverride w:val="1"/>
      <w:lvl w:ilvl="2" w:tentative="1">
        <w:start w:val="1"/>
        <w:numFmt w:val="lowerRoman"/>
        <w:lvlText w:val="%3."/>
        <w:lvlJc w:val="right"/>
        <w:pPr>
          <w:tabs>
            <w:tab w:val="left" w:pos="1260"/>
          </w:tabs>
          <w:ind w:left="1260" w:hanging="420"/>
        </w:pPr>
        <w:rPr>
          <w:rFonts w:cs="Times New Roman"/>
        </w:rPr>
      </w:lvl>
    </w:lvlOverride>
    <w:lvlOverride w:ilvl="3">
      <w:startOverride w:val="1"/>
      <w:lvl w:ilvl="3" w:tentative="1">
        <w:start w:val="1"/>
        <w:numFmt w:val="decimal"/>
        <w:lvlText w:val="%4."/>
        <w:lvlJc w:val="left"/>
        <w:pPr>
          <w:tabs>
            <w:tab w:val="left" w:pos="1680"/>
          </w:tabs>
          <w:ind w:left="1680" w:hanging="420"/>
        </w:pPr>
        <w:rPr>
          <w:rFonts w:cs="Times New Roman"/>
        </w:rPr>
      </w:lvl>
    </w:lvlOverride>
    <w:lvlOverride w:ilvl="4">
      <w:startOverride w:val="1"/>
      <w:lvl w:ilvl="4" w:tentative="1">
        <w:start w:val="1"/>
        <w:numFmt w:val="lowerLetter"/>
        <w:lvlText w:val="%5)"/>
        <w:lvlJc w:val="left"/>
        <w:pPr>
          <w:tabs>
            <w:tab w:val="left" w:pos="2100"/>
          </w:tabs>
          <w:ind w:left="2100" w:hanging="420"/>
        </w:pPr>
        <w:rPr>
          <w:rFonts w:cs="Times New Roman"/>
        </w:rPr>
      </w:lvl>
    </w:lvlOverride>
    <w:lvlOverride w:ilvl="5">
      <w:startOverride w:val="1"/>
      <w:lvl w:ilvl="5" w:tentative="1">
        <w:start w:val="1"/>
        <w:numFmt w:val="lowerRoman"/>
        <w:lvlText w:val="%6."/>
        <w:lvlJc w:val="right"/>
        <w:pPr>
          <w:tabs>
            <w:tab w:val="left" w:pos="2520"/>
          </w:tabs>
          <w:ind w:left="2520" w:hanging="420"/>
        </w:pPr>
        <w:rPr>
          <w:rFonts w:cs="Times New Roman"/>
        </w:rPr>
      </w:lvl>
    </w:lvlOverride>
    <w:lvlOverride w:ilvl="6">
      <w:startOverride w:val="1"/>
      <w:lvl w:ilvl="6" w:tentative="1">
        <w:start w:val="1"/>
        <w:numFmt w:val="decimal"/>
        <w:lvlText w:val="%7."/>
        <w:lvlJc w:val="left"/>
        <w:pPr>
          <w:tabs>
            <w:tab w:val="left" w:pos="2940"/>
          </w:tabs>
          <w:ind w:left="2940" w:hanging="420"/>
        </w:pPr>
        <w:rPr>
          <w:rFonts w:cs="Times New Roman"/>
        </w:rPr>
      </w:lvl>
    </w:lvlOverride>
    <w:lvlOverride w:ilvl="7">
      <w:startOverride w:val="1"/>
      <w:lvl w:ilvl="7" w:tentative="1">
        <w:start w:val="1"/>
        <w:numFmt w:val="lowerLetter"/>
        <w:lvlText w:val="%8)"/>
        <w:lvlJc w:val="left"/>
        <w:pPr>
          <w:tabs>
            <w:tab w:val="left" w:pos="3360"/>
          </w:tabs>
          <w:ind w:left="3360" w:hanging="420"/>
        </w:pPr>
        <w:rPr>
          <w:rFonts w:cs="Times New Roman"/>
        </w:rPr>
      </w:lvl>
    </w:lvlOverride>
    <w:lvlOverride w:ilvl="8">
      <w:startOverride w:val="1"/>
      <w:lvl w:ilvl="8" w:tentative="1">
        <w:start w:val="1"/>
        <w:numFmt w:val="lowerRoman"/>
        <w:lvlText w:val="%9."/>
        <w:lvlJc w:val="right"/>
        <w:pPr>
          <w:tabs>
            <w:tab w:val="left" w:pos="3780"/>
          </w:tabs>
          <w:ind w:left="3780" w:hanging="420"/>
        </w:pPr>
        <w:rPr>
          <w:rFonts w:cs="Times New Roman"/>
        </w:rPr>
      </w:lvl>
    </w:lvlOverride>
  </w:num>
  <w:num w:numId="5">
    <w:abstractNumId w:val="4"/>
    <w:lvlOverride w:ilvl="0">
      <w:startOverride w:val="1"/>
      <w:lvl w:ilvl="0">
        <w:start w:val="1"/>
        <w:numFmt w:val="upperLetter"/>
        <w:lvlText w:val="%1."/>
        <w:lvlJc w:val="left"/>
        <w:pPr>
          <w:tabs>
            <w:tab w:val="left" w:pos="624"/>
          </w:tabs>
          <w:ind w:firstLine="510"/>
        </w:pPr>
        <w:rPr>
          <w:rFonts w:cs="Times New Roman" w:hint="eastAsia"/>
        </w:rPr>
      </w:lvl>
    </w:lvlOverride>
    <w:lvlOverride w:ilvl="1">
      <w:startOverride w:val="1"/>
      <w:lvl w:ilvl="1" w:tentative="1">
        <w:start w:val="1"/>
        <w:numFmt w:val="lowerLetter"/>
        <w:lvlText w:val="%2)"/>
        <w:lvlJc w:val="left"/>
        <w:pPr>
          <w:tabs>
            <w:tab w:val="left" w:pos="840"/>
          </w:tabs>
          <w:ind w:left="840" w:hanging="420"/>
        </w:pPr>
        <w:rPr>
          <w:rFonts w:cs="Times New Roman"/>
        </w:rPr>
      </w:lvl>
    </w:lvlOverride>
    <w:lvlOverride w:ilvl="2">
      <w:startOverride w:val="1"/>
      <w:lvl w:ilvl="2" w:tentative="1">
        <w:start w:val="1"/>
        <w:numFmt w:val="lowerRoman"/>
        <w:lvlText w:val="%3."/>
        <w:lvlJc w:val="right"/>
        <w:pPr>
          <w:tabs>
            <w:tab w:val="left" w:pos="1260"/>
          </w:tabs>
          <w:ind w:left="1260" w:hanging="420"/>
        </w:pPr>
        <w:rPr>
          <w:rFonts w:cs="Times New Roman"/>
        </w:rPr>
      </w:lvl>
    </w:lvlOverride>
    <w:lvlOverride w:ilvl="3">
      <w:startOverride w:val="1"/>
      <w:lvl w:ilvl="3" w:tentative="1">
        <w:start w:val="1"/>
        <w:numFmt w:val="decimal"/>
        <w:lvlText w:val="%4."/>
        <w:lvlJc w:val="left"/>
        <w:pPr>
          <w:tabs>
            <w:tab w:val="left" w:pos="1680"/>
          </w:tabs>
          <w:ind w:left="1680" w:hanging="420"/>
        </w:pPr>
        <w:rPr>
          <w:rFonts w:cs="Times New Roman"/>
        </w:rPr>
      </w:lvl>
    </w:lvlOverride>
    <w:lvlOverride w:ilvl="4">
      <w:startOverride w:val="1"/>
      <w:lvl w:ilvl="4" w:tentative="1">
        <w:start w:val="1"/>
        <w:numFmt w:val="lowerLetter"/>
        <w:lvlText w:val="%5)"/>
        <w:lvlJc w:val="left"/>
        <w:pPr>
          <w:tabs>
            <w:tab w:val="left" w:pos="2100"/>
          </w:tabs>
          <w:ind w:left="2100" w:hanging="420"/>
        </w:pPr>
        <w:rPr>
          <w:rFonts w:cs="Times New Roman"/>
        </w:rPr>
      </w:lvl>
    </w:lvlOverride>
    <w:lvlOverride w:ilvl="5">
      <w:startOverride w:val="1"/>
      <w:lvl w:ilvl="5" w:tentative="1">
        <w:start w:val="1"/>
        <w:numFmt w:val="lowerRoman"/>
        <w:lvlText w:val="%6."/>
        <w:lvlJc w:val="right"/>
        <w:pPr>
          <w:tabs>
            <w:tab w:val="left" w:pos="2520"/>
          </w:tabs>
          <w:ind w:left="2520" w:hanging="420"/>
        </w:pPr>
        <w:rPr>
          <w:rFonts w:cs="Times New Roman"/>
        </w:rPr>
      </w:lvl>
    </w:lvlOverride>
    <w:lvlOverride w:ilvl="6">
      <w:startOverride w:val="1"/>
      <w:lvl w:ilvl="6" w:tentative="1">
        <w:start w:val="1"/>
        <w:numFmt w:val="decimal"/>
        <w:lvlText w:val="%7."/>
        <w:lvlJc w:val="left"/>
        <w:pPr>
          <w:tabs>
            <w:tab w:val="left" w:pos="2940"/>
          </w:tabs>
          <w:ind w:left="2940" w:hanging="420"/>
        </w:pPr>
        <w:rPr>
          <w:rFonts w:cs="Times New Roman"/>
        </w:rPr>
      </w:lvl>
    </w:lvlOverride>
    <w:lvlOverride w:ilvl="7">
      <w:startOverride w:val="1"/>
      <w:lvl w:ilvl="7" w:tentative="1">
        <w:start w:val="1"/>
        <w:numFmt w:val="lowerLetter"/>
        <w:lvlText w:val="%8)"/>
        <w:lvlJc w:val="left"/>
        <w:pPr>
          <w:tabs>
            <w:tab w:val="left" w:pos="3360"/>
          </w:tabs>
          <w:ind w:left="3360" w:hanging="420"/>
        </w:pPr>
        <w:rPr>
          <w:rFonts w:cs="Times New Roman"/>
        </w:rPr>
      </w:lvl>
    </w:lvlOverride>
    <w:lvlOverride w:ilvl="8">
      <w:startOverride w:val="1"/>
      <w:lvl w:ilvl="8" w:tentative="1">
        <w:start w:val="1"/>
        <w:numFmt w:val="lowerRoman"/>
        <w:lvlText w:val="%9."/>
        <w:lvlJc w:val="right"/>
        <w:pPr>
          <w:tabs>
            <w:tab w:val="left" w:pos="3780"/>
          </w:tabs>
          <w:ind w:left="3780" w:hanging="420"/>
        </w:pPr>
        <w:rPr>
          <w:rFonts w:cs="Times New Roman"/>
        </w:rPr>
      </w:lvl>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7F6"/>
    <w:rsid w:val="00127F17"/>
    <w:rsid w:val="0015296E"/>
    <w:rsid w:val="001677F6"/>
    <w:rsid w:val="003E19BB"/>
    <w:rsid w:val="0045402D"/>
    <w:rsid w:val="0052094F"/>
    <w:rsid w:val="00555B51"/>
    <w:rsid w:val="005A63E0"/>
    <w:rsid w:val="006E439F"/>
    <w:rsid w:val="00762B4B"/>
    <w:rsid w:val="00996B77"/>
    <w:rsid w:val="00AB1534"/>
    <w:rsid w:val="00B711D0"/>
    <w:rsid w:val="00D031A7"/>
    <w:rsid w:val="00DB6144"/>
    <w:rsid w:val="00E22005"/>
    <w:rsid w:val="00E57E7F"/>
    <w:rsid w:val="00EE148C"/>
    <w:rsid w:val="00EF4184"/>
    <w:rsid w:val="00F3569C"/>
    <w:rsid w:val="0BCE3480"/>
    <w:rsid w:val="7DC30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8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41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4184"/>
    <w:rPr>
      <w:rFonts w:cs="Times New Roman"/>
      <w:sz w:val="18"/>
      <w:szCs w:val="18"/>
    </w:rPr>
  </w:style>
  <w:style w:type="paragraph" w:styleId="Header">
    <w:name w:val="header"/>
    <w:basedOn w:val="Normal"/>
    <w:link w:val="HeaderChar"/>
    <w:uiPriority w:val="99"/>
    <w:rsid w:val="00EF41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F4184"/>
    <w:rPr>
      <w:rFonts w:cs="Times New Roman"/>
      <w:sz w:val="18"/>
      <w:szCs w:val="18"/>
    </w:rPr>
  </w:style>
  <w:style w:type="table" w:styleId="TableGrid">
    <w:name w:val="Table Grid"/>
    <w:basedOn w:val="TableNormal"/>
    <w:uiPriority w:val="99"/>
    <w:rsid w:val="00EF418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F4184"/>
    <w:pPr>
      <w:ind w:firstLineChars="200" w:firstLine="420"/>
    </w:pPr>
  </w:style>
  <w:style w:type="paragraph" w:customStyle="1" w:styleId="CharCharCharCharCharCharCharCharCharCharCharChar1CharCharCharCharCharCharCharCharCharCharCharChar1Char">
    <w:name w:val="Char Char Char Char Char Char Char Char Char Char Char Char1 Char Char Char Char Char Char Char Char Char Char Char Char1 Char"/>
    <w:basedOn w:val="Normal"/>
    <w:uiPriority w:val="99"/>
    <w:rsid w:val="00EF4184"/>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167</Words>
  <Characters>954</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莆田监狱门禁系统设计项目</dc:title>
  <dc:subject/>
  <dc:creator>微软用户</dc:creator>
  <cp:keywords/>
  <dc:description/>
  <cp:lastModifiedBy>X</cp:lastModifiedBy>
  <cp:revision>2</cp:revision>
  <cp:lastPrinted>2019-01-17T00:55:00Z</cp:lastPrinted>
  <dcterms:created xsi:type="dcterms:W3CDTF">2019-01-17T08:17:00Z</dcterms:created>
  <dcterms:modified xsi:type="dcterms:W3CDTF">2019-01-17T08:17:00Z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