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1103" w:rsidRDefault="008C1103">
      <w:pPr>
        <w:widowControl/>
        <w:spacing w:line="360" w:lineRule="auto"/>
        <w:jc w:val="center"/>
        <w:rPr>
          <w:rFonts w:ascii="ˎ̥" w:hAnsi="ˎ̥" w:hint="eastAsia"/>
          <w:sz w:val="24"/>
        </w:rPr>
      </w:pPr>
      <w:r>
        <w:rPr>
          <w:rFonts w:ascii="ˎ̥" w:hAnsi="ˎ̥"/>
          <w:b/>
          <w:sz w:val="36"/>
        </w:rPr>
        <w:t>经皮黄疸</w:t>
      </w:r>
      <w:proofErr w:type="gramStart"/>
      <w:r>
        <w:rPr>
          <w:rFonts w:ascii="ˎ̥" w:hAnsi="ˎ̥"/>
          <w:b/>
          <w:sz w:val="36"/>
        </w:rPr>
        <w:t>仪</w:t>
      </w:r>
      <w:r>
        <w:rPr>
          <w:rFonts w:ascii="ˎ̥" w:hAnsi="ˎ̥" w:hint="eastAsia"/>
          <w:b/>
          <w:sz w:val="36"/>
        </w:rPr>
        <w:t>技术</w:t>
      </w:r>
      <w:proofErr w:type="gramEnd"/>
      <w:r>
        <w:rPr>
          <w:rFonts w:ascii="ˎ̥" w:hAnsi="ˎ̥" w:hint="eastAsia"/>
          <w:b/>
          <w:sz w:val="36"/>
        </w:rPr>
        <w:t>参数</w:t>
      </w:r>
    </w:p>
    <w:p w:rsidR="008C1103" w:rsidRDefault="008C1103">
      <w:pPr>
        <w:spacing w:line="360" w:lineRule="auto"/>
        <w:ind w:firstLine="57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应用光纤、光学技术、电子及信息处理技术，只要将探头轻压新生儿前额，瞬间即可直接测量出新生儿皮肤组织内胆红素浓度。</w:t>
      </w:r>
      <w:r w:rsidR="00F4554D">
        <w:rPr>
          <w:rFonts w:ascii="ˎ̥" w:hAnsi="ˎ̥" w:hint="eastAsia"/>
          <w:sz w:val="24"/>
        </w:rPr>
        <w:t>可</w:t>
      </w:r>
      <w:r>
        <w:rPr>
          <w:rFonts w:ascii="ˎ̥" w:hAnsi="ˎ̥" w:hint="eastAsia"/>
          <w:sz w:val="24"/>
        </w:rPr>
        <w:t>应</w:t>
      </w:r>
      <w:r>
        <w:rPr>
          <w:rFonts w:ascii="ˎ̥" w:hAnsi="ˎ̥"/>
          <w:sz w:val="24"/>
        </w:rPr>
        <w:t>用于妇产科、新生儿科、</w:t>
      </w:r>
      <w:r>
        <w:rPr>
          <w:rFonts w:ascii="ˎ̥" w:hAnsi="ˎ̥" w:hint="eastAsia"/>
          <w:sz w:val="24"/>
        </w:rPr>
        <w:t>新生儿重症监护室、</w:t>
      </w:r>
      <w:r>
        <w:rPr>
          <w:rFonts w:ascii="ˎ̥" w:hAnsi="ˎ̥"/>
          <w:sz w:val="24"/>
        </w:rPr>
        <w:t>儿保科</w:t>
      </w:r>
      <w:r>
        <w:rPr>
          <w:rFonts w:ascii="ˎ̥" w:hAnsi="ˎ̥" w:hint="eastAsia"/>
          <w:sz w:val="24"/>
        </w:rPr>
        <w:t>等，实现了对</w:t>
      </w:r>
      <w:r>
        <w:rPr>
          <w:rFonts w:ascii="ˎ̥" w:hAnsi="ˎ̥"/>
          <w:sz w:val="24"/>
        </w:rPr>
        <w:t>新生儿黄疸的动态检测及高胆红素血症的筛查。</w:t>
      </w:r>
    </w:p>
    <w:p w:rsidR="008C1103" w:rsidRDefault="00F4554D">
      <w:pPr>
        <w:widowControl/>
        <w:spacing w:line="360" w:lineRule="auto"/>
        <w:rPr>
          <w:rFonts w:ascii="ˎ̥" w:hAnsi="ˎ̥" w:hint="eastAsia"/>
          <w:b/>
          <w:sz w:val="24"/>
        </w:rPr>
      </w:pPr>
      <w:r>
        <w:rPr>
          <w:rFonts w:ascii="ˎ̥" w:hAnsi="ˎ̥" w:hint="eastAsia"/>
          <w:b/>
          <w:sz w:val="24"/>
        </w:rPr>
        <w:t>具体参数</w:t>
      </w:r>
    </w:p>
    <w:p w:rsidR="008C1103" w:rsidRDefault="008C1103">
      <w:pPr>
        <w:widowControl/>
        <w:spacing w:line="360" w:lineRule="auto"/>
        <w:ind w:firstLine="480"/>
        <w:rPr>
          <w:rFonts w:ascii="宋体" w:hint="eastAsia"/>
          <w:sz w:val="24"/>
        </w:rPr>
      </w:pPr>
      <w:r>
        <w:rPr>
          <w:rFonts w:ascii="宋体"/>
          <w:sz w:val="24"/>
        </w:rPr>
        <w:t>精密度（重复性）：RSD＜</w:t>
      </w:r>
      <w:r>
        <w:rPr>
          <w:rFonts w:ascii="宋体" w:hint="eastAsia"/>
          <w:sz w:val="24"/>
        </w:rPr>
        <w:t>2</w:t>
      </w:r>
      <w:r>
        <w:rPr>
          <w:rFonts w:ascii="宋体"/>
          <w:sz w:val="24"/>
        </w:rPr>
        <w:t>%</w:t>
      </w:r>
      <w:r>
        <w:rPr>
          <w:rFonts w:ascii="宋体" w:hint="eastAsia"/>
          <w:sz w:val="24"/>
        </w:rPr>
        <w:t>；</w:t>
      </w:r>
    </w:p>
    <w:p w:rsidR="008C1103" w:rsidRDefault="008C1103">
      <w:pPr>
        <w:spacing w:line="360" w:lineRule="auto"/>
        <w:ind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液晶</w:t>
      </w:r>
      <w:r>
        <w:rPr>
          <w:rFonts w:ascii="宋体"/>
          <w:sz w:val="24"/>
        </w:rPr>
        <w:t>显示带背光</w:t>
      </w:r>
      <w:r>
        <w:rPr>
          <w:rFonts w:ascii="宋体" w:hint="eastAsia"/>
          <w:sz w:val="24"/>
        </w:rPr>
        <w:t>，方便夜间检测；</w:t>
      </w:r>
    </w:p>
    <w:p w:rsidR="008C1103" w:rsidRDefault="008C1103" w:rsidP="00F4554D">
      <w:pPr>
        <w:spacing w:line="360" w:lineRule="auto"/>
        <w:ind w:firstLineChars="200" w:firstLine="480"/>
        <w:rPr>
          <w:rFonts w:ascii="宋体" w:hint="eastAsia"/>
          <w:sz w:val="24"/>
        </w:rPr>
      </w:pPr>
      <w:r>
        <w:rPr>
          <w:rFonts w:ascii="宋体"/>
          <w:sz w:val="24"/>
        </w:rPr>
        <w:t>单位：mg/dl</w:t>
      </w:r>
      <w:r>
        <w:rPr>
          <w:rFonts w:ascii="宋体" w:hint="eastAsia"/>
          <w:sz w:val="24"/>
        </w:rPr>
        <w:t>、µ</w:t>
      </w:r>
      <w:r>
        <w:rPr>
          <w:rFonts w:ascii="宋体"/>
          <w:sz w:val="24"/>
        </w:rPr>
        <w:t>mol/L</w:t>
      </w:r>
      <w:r>
        <w:rPr>
          <w:rFonts w:ascii="宋体" w:hint="eastAsia"/>
          <w:sz w:val="24"/>
        </w:rPr>
        <w:t>（根据需要</w:t>
      </w:r>
      <w:r>
        <w:rPr>
          <w:rFonts w:ascii="宋体"/>
          <w:sz w:val="24"/>
        </w:rPr>
        <w:t>可</w:t>
      </w:r>
      <w:r>
        <w:rPr>
          <w:rFonts w:ascii="宋体" w:hint="eastAsia"/>
          <w:sz w:val="24"/>
        </w:rPr>
        <w:t>随时切换</w:t>
      </w:r>
      <w:r>
        <w:rPr>
          <w:rFonts w:ascii="宋体"/>
          <w:sz w:val="24"/>
        </w:rPr>
        <w:t>）</w:t>
      </w:r>
      <w:r>
        <w:rPr>
          <w:rFonts w:ascii="宋体" w:hint="eastAsia"/>
          <w:sz w:val="24"/>
        </w:rPr>
        <w:t>；</w:t>
      </w:r>
    </w:p>
    <w:p w:rsidR="008C1103" w:rsidRDefault="008C1103">
      <w:pPr>
        <w:widowControl/>
        <w:spacing w:line="360" w:lineRule="auto"/>
        <w:ind w:firstLine="480"/>
        <w:jc w:val="left"/>
        <w:rPr>
          <w:rFonts w:ascii="宋体" w:hint="eastAsia"/>
          <w:color w:val="000000"/>
          <w:sz w:val="24"/>
        </w:rPr>
      </w:pPr>
      <w:r>
        <w:rPr>
          <w:rFonts w:ascii="宋体"/>
          <w:color w:val="000000"/>
          <w:sz w:val="24"/>
        </w:rPr>
        <w:t>自动计算2</w:t>
      </w:r>
      <w:r>
        <w:rPr>
          <w:rFonts w:ascii="宋体" w:hint="eastAsia"/>
          <w:color w:val="000000"/>
          <w:sz w:val="24"/>
        </w:rPr>
        <w:t>～</w:t>
      </w:r>
      <w:r>
        <w:rPr>
          <w:rFonts w:ascii="宋体"/>
          <w:color w:val="000000"/>
          <w:sz w:val="24"/>
        </w:rPr>
        <w:t>5次的平均值</w:t>
      </w:r>
      <w:r>
        <w:rPr>
          <w:rFonts w:ascii="宋体" w:hint="eastAsia"/>
          <w:color w:val="000000"/>
          <w:sz w:val="24"/>
        </w:rPr>
        <w:t>，测量值和平均值同时显示；</w:t>
      </w:r>
    </w:p>
    <w:p w:rsidR="008C1103" w:rsidRDefault="008C1103">
      <w:pPr>
        <w:spacing w:line="360" w:lineRule="auto"/>
        <w:ind w:firstLine="480"/>
        <w:rPr>
          <w:rFonts w:ascii="宋体" w:hint="eastAsia"/>
          <w:sz w:val="24"/>
        </w:rPr>
      </w:pPr>
      <w:r>
        <w:rPr>
          <w:rFonts w:ascii="宋体"/>
          <w:sz w:val="24"/>
        </w:rPr>
        <w:t>自动校准</w:t>
      </w:r>
      <w:r>
        <w:rPr>
          <w:rFonts w:ascii="宋体" w:hint="eastAsia"/>
          <w:sz w:val="24"/>
        </w:rPr>
        <w:t>、性能稳定、可靠</w:t>
      </w:r>
    </w:p>
    <w:p w:rsidR="008C1103" w:rsidRDefault="00F4554D">
      <w:pPr>
        <w:spacing w:line="360" w:lineRule="auto"/>
        <w:ind w:firstLine="480"/>
        <w:rPr>
          <w:rFonts w:ascii="宋体" w:hint="eastAsia"/>
          <w:sz w:val="24"/>
        </w:rPr>
      </w:pPr>
      <w:r>
        <w:rPr>
          <w:rFonts w:ascii="宋体"/>
          <w:sz w:val="24"/>
        </w:rPr>
        <w:t>仪器</w:t>
      </w:r>
      <w:r w:rsidR="008C1103">
        <w:rPr>
          <w:rFonts w:ascii="宋体"/>
          <w:sz w:val="24"/>
        </w:rPr>
        <w:t>使用寿命长、能量消耗低</w:t>
      </w:r>
    </w:p>
    <w:p w:rsidR="008C1103" w:rsidRDefault="008C1103" w:rsidP="00F4554D">
      <w:pPr>
        <w:spacing w:line="360" w:lineRule="auto"/>
        <w:ind w:firstLineChars="200" w:firstLine="480"/>
        <w:rPr>
          <w:rFonts w:ascii="宋体" w:hint="eastAsia"/>
          <w:sz w:val="24"/>
        </w:rPr>
      </w:pPr>
      <w:proofErr w:type="gramStart"/>
      <w:r>
        <w:rPr>
          <w:rFonts w:ascii="宋体" w:hint="eastAsia"/>
          <w:sz w:val="24"/>
        </w:rPr>
        <w:t>不</w:t>
      </w:r>
      <w:proofErr w:type="gramEnd"/>
      <w:r>
        <w:rPr>
          <w:rFonts w:ascii="宋体" w:hint="eastAsia"/>
          <w:sz w:val="24"/>
        </w:rPr>
        <w:t>抽血、无痛苦、无感染</w:t>
      </w:r>
    </w:p>
    <w:p w:rsidR="008C1103" w:rsidRDefault="008C1103">
      <w:pPr>
        <w:widowControl/>
        <w:spacing w:line="360" w:lineRule="auto"/>
        <w:ind w:firstLine="480"/>
        <w:rPr>
          <w:rFonts w:ascii="ˎ̥" w:hAnsi="ˎ̥" w:hint="eastAsia"/>
          <w:b/>
          <w:sz w:val="24"/>
        </w:rPr>
      </w:pPr>
      <w:r>
        <w:rPr>
          <w:rFonts w:hAnsi="Times New Roman"/>
          <w:sz w:val="24"/>
        </w:rPr>
        <w:t> </w:t>
      </w:r>
      <w:r>
        <w:rPr>
          <w:rFonts w:ascii="ˎ̥" w:hAnsi="ˎ̥"/>
          <w:sz w:val="24"/>
        </w:rPr>
        <w:t>紫外线专利滤除技术</w:t>
      </w:r>
      <w:r>
        <w:rPr>
          <w:rFonts w:ascii="ˎ̥" w:hAnsi="ˎ̥" w:hint="eastAsia"/>
          <w:sz w:val="24"/>
        </w:rPr>
        <w:t>，</w:t>
      </w:r>
      <w:r>
        <w:rPr>
          <w:rFonts w:ascii="ˎ̥" w:hAnsi="ˎ̥"/>
          <w:sz w:val="24"/>
        </w:rPr>
        <w:t>避免了对婴儿皮肤的伤害</w:t>
      </w:r>
      <w:r>
        <w:rPr>
          <w:rFonts w:ascii="ˎ̥" w:hAnsi="ˎ̥"/>
          <w:b/>
          <w:sz w:val="24"/>
        </w:rPr>
        <w:t> </w:t>
      </w:r>
    </w:p>
    <w:p w:rsidR="008C1103" w:rsidRDefault="008C1103">
      <w:pPr>
        <w:widowControl/>
        <w:spacing w:line="360" w:lineRule="auto"/>
        <w:ind w:firstLine="473"/>
        <w:rPr>
          <w:rFonts w:ascii="宋体" w:hint="eastAsia"/>
          <w:sz w:val="24"/>
        </w:rPr>
      </w:pPr>
      <w:r>
        <w:rPr>
          <w:rFonts w:ascii="宋体"/>
          <w:sz w:val="24"/>
        </w:rPr>
        <w:t>光源：</w:t>
      </w:r>
      <w:proofErr w:type="gramStart"/>
      <w:r>
        <w:rPr>
          <w:rFonts w:ascii="宋体" w:hint="eastAsia"/>
          <w:sz w:val="24"/>
        </w:rPr>
        <w:t>氙</w:t>
      </w:r>
      <w:proofErr w:type="gramEnd"/>
      <w:r>
        <w:rPr>
          <w:rFonts w:ascii="宋体" w:hint="eastAsia"/>
          <w:sz w:val="24"/>
        </w:rPr>
        <w:t>闪光灯</w:t>
      </w:r>
    </w:p>
    <w:p w:rsidR="008C1103" w:rsidRDefault="008C1103">
      <w:pPr>
        <w:widowControl/>
        <w:spacing w:line="360" w:lineRule="auto"/>
        <w:ind w:firstLine="473"/>
        <w:rPr>
          <w:rFonts w:ascii="ˎ̥" w:hAnsi="ˎ̥" w:hint="eastAsia"/>
          <w:sz w:val="24"/>
        </w:rPr>
      </w:pPr>
      <w:r>
        <w:rPr>
          <w:rFonts w:ascii="ˎ̥" w:hAnsi="ˎ̥"/>
          <w:sz w:val="24"/>
        </w:rPr>
        <w:t>测量方式：</w:t>
      </w:r>
      <w:r>
        <w:rPr>
          <w:rFonts w:ascii="ˎ̥" w:hAnsi="ˎ̥" w:hint="eastAsia"/>
          <w:sz w:val="24"/>
        </w:rPr>
        <w:t>光反射式，</w:t>
      </w:r>
      <w:r>
        <w:rPr>
          <w:rFonts w:ascii="ˎ̥" w:hAnsi="ˎ̥"/>
          <w:sz w:val="24"/>
        </w:rPr>
        <w:t>蓝、绿光比较</w:t>
      </w:r>
    </w:p>
    <w:p w:rsidR="008C1103" w:rsidRDefault="008C1103">
      <w:pPr>
        <w:widowControl/>
        <w:spacing w:line="360" w:lineRule="auto"/>
        <w:ind w:firstLine="480"/>
        <w:rPr>
          <w:rFonts w:ascii="宋体" w:hint="eastAsia"/>
          <w:sz w:val="24"/>
        </w:rPr>
      </w:pPr>
      <w:r>
        <w:rPr>
          <w:rFonts w:ascii="宋体"/>
          <w:sz w:val="24"/>
        </w:rPr>
        <w:t xml:space="preserve">测量精度(σ)：±1mg/dl或±17 </w:t>
      </w:r>
      <w:r>
        <w:rPr>
          <w:rFonts w:ascii="宋体" w:hint="eastAsia"/>
          <w:sz w:val="24"/>
        </w:rPr>
        <w:t>µ</w:t>
      </w:r>
      <w:r>
        <w:rPr>
          <w:rFonts w:ascii="宋体"/>
          <w:sz w:val="24"/>
        </w:rPr>
        <w:t>mol/L</w:t>
      </w:r>
      <w:r>
        <w:rPr>
          <w:rFonts w:ascii="宋体" w:hint="eastAsia"/>
          <w:sz w:val="24"/>
        </w:rPr>
        <w:t>；</w:t>
      </w:r>
    </w:p>
    <w:p w:rsidR="008C1103" w:rsidRDefault="008C1103">
      <w:pPr>
        <w:widowControl/>
        <w:spacing w:line="360" w:lineRule="auto"/>
        <w:ind w:firstLine="473"/>
        <w:rPr>
          <w:rFonts w:ascii="宋体" w:hint="eastAsia"/>
          <w:sz w:val="24"/>
        </w:rPr>
      </w:pPr>
      <w:r>
        <w:rPr>
          <w:rFonts w:ascii="宋体"/>
          <w:sz w:val="24"/>
        </w:rPr>
        <w:t xml:space="preserve">测量范围：0.0～25.0mg/dl或0.0～425 </w:t>
      </w:r>
      <w:r>
        <w:rPr>
          <w:rFonts w:ascii="宋体" w:hint="eastAsia"/>
          <w:sz w:val="24"/>
        </w:rPr>
        <w:t>µ</w:t>
      </w:r>
      <w:r>
        <w:rPr>
          <w:rFonts w:ascii="宋体"/>
          <w:sz w:val="24"/>
        </w:rPr>
        <w:t>mol/L</w:t>
      </w:r>
    </w:p>
    <w:p w:rsidR="008C1103" w:rsidRDefault="008C1103">
      <w:pPr>
        <w:widowControl/>
        <w:spacing w:line="360" w:lineRule="auto"/>
        <w:ind w:firstLine="473"/>
        <w:rPr>
          <w:rFonts w:ascii="宋体" w:hint="eastAsia"/>
          <w:sz w:val="24"/>
        </w:rPr>
      </w:pPr>
      <w:r>
        <w:rPr>
          <w:rFonts w:ascii="宋体"/>
          <w:sz w:val="24"/>
        </w:rPr>
        <w:t>数值：3位数字直接读取，无需对照表换算</w:t>
      </w:r>
    </w:p>
    <w:p w:rsidR="008C1103" w:rsidRDefault="008C1103">
      <w:pPr>
        <w:widowControl/>
        <w:spacing w:line="360" w:lineRule="auto"/>
        <w:ind w:firstLine="473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示值误差：00-15</w:t>
      </w:r>
      <w:r>
        <w:rPr>
          <w:rFonts w:ascii="宋体"/>
          <w:sz w:val="24"/>
        </w:rPr>
        <w:t>±</w:t>
      </w:r>
      <w:r>
        <w:rPr>
          <w:rFonts w:ascii="宋体" w:hint="eastAsia"/>
          <w:sz w:val="24"/>
        </w:rPr>
        <w:t>1  16-25为</w:t>
      </w:r>
      <w:r>
        <w:rPr>
          <w:rFonts w:ascii="宋体"/>
          <w:sz w:val="24"/>
        </w:rPr>
        <w:t>±</w:t>
      </w:r>
      <w:r>
        <w:rPr>
          <w:rFonts w:ascii="宋体" w:hint="eastAsia"/>
          <w:sz w:val="24"/>
        </w:rPr>
        <w:t>1.5</w:t>
      </w:r>
    </w:p>
    <w:p w:rsidR="008C1103" w:rsidRDefault="008C1103">
      <w:pPr>
        <w:widowControl/>
        <w:spacing w:line="360" w:lineRule="auto"/>
        <w:ind w:firstLine="473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开机时间：开机即可检测，无需等待</w:t>
      </w:r>
      <w:r>
        <w:rPr>
          <w:rFonts w:ascii="宋体"/>
          <w:sz w:val="24"/>
        </w:rPr>
        <w:t>  </w:t>
      </w:r>
    </w:p>
    <w:p w:rsidR="008C1103" w:rsidRDefault="008C1103">
      <w:pPr>
        <w:widowControl/>
        <w:spacing w:line="360" w:lineRule="auto"/>
        <w:ind w:firstLine="473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电源：1.2V×4可充电7号镍氢电池组两套</w:t>
      </w:r>
      <w:r>
        <w:rPr>
          <w:rFonts w:ascii="宋体"/>
          <w:sz w:val="24"/>
        </w:rPr>
        <w:t>      </w:t>
      </w:r>
    </w:p>
    <w:p w:rsidR="008C1103" w:rsidRDefault="008C1103">
      <w:pPr>
        <w:widowControl/>
        <w:spacing w:line="360" w:lineRule="auto"/>
        <w:ind w:firstLine="473"/>
        <w:rPr>
          <w:rFonts w:ascii="宋体" w:hint="eastAsia"/>
          <w:sz w:val="24"/>
        </w:rPr>
      </w:pPr>
      <w:r>
        <w:rPr>
          <w:rFonts w:ascii="宋体"/>
          <w:sz w:val="24"/>
        </w:rPr>
        <w:t>测量次数：一次充电</w:t>
      </w:r>
      <w:r>
        <w:rPr>
          <w:rFonts w:ascii="宋体" w:hint="eastAsia"/>
          <w:sz w:val="24"/>
        </w:rPr>
        <w:t>1.5小时</w:t>
      </w:r>
      <w:r>
        <w:rPr>
          <w:rFonts w:ascii="宋体"/>
          <w:sz w:val="24"/>
        </w:rPr>
        <w:t>可测量1000次以上</w:t>
      </w:r>
    </w:p>
    <w:p w:rsidR="008C1103" w:rsidRDefault="008C1103">
      <w:pPr>
        <w:widowControl/>
        <w:spacing w:line="360" w:lineRule="auto"/>
        <w:ind w:firstLine="473"/>
        <w:rPr>
          <w:rFonts w:ascii="宋体" w:hint="eastAsia"/>
          <w:sz w:val="24"/>
        </w:rPr>
      </w:pPr>
      <w:r>
        <w:rPr>
          <w:rFonts w:ascii="宋体"/>
          <w:sz w:val="24"/>
        </w:rPr>
        <w:t>校验盘：对白色屏显示</w:t>
      </w:r>
      <w:r>
        <w:rPr>
          <w:rFonts w:ascii="宋体" w:hint="eastAsia"/>
          <w:sz w:val="24"/>
        </w:rPr>
        <w:t>0</w:t>
      </w:r>
      <w:r>
        <w:rPr>
          <w:rFonts w:ascii="宋体"/>
          <w:sz w:val="24"/>
        </w:rPr>
        <w:t>0.0或</w:t>
      </w:r>
      <w:r>
        <w:rPr>
          <w:rFonts w:ascii="宋体" w:hint="eastAsia"/>
          <w:sz w:val="24"/>
        </w:rPr>
        <w:t>0</w:t>
      </w:r>
      <w:r>
        <w:rPr>
          <w:rFonts w:ascii="宋体"/>
          <w:sz w:val="24"/>
        </w:rPr>
        <w:t>0.1，对黄色</w:t>
      </w:r>
      <w:r>
        <w:rPr>
          <w:rFonts w:ascii="宋体" w:hint="eastAsia"/>
          <w:sz w:val="24"/>
        </w:rPr>
        <w:t>屏</w:t>
      </w:r>
      <w:r>
        <w:rPr>
          <w:rFonts w:ascii="宋体"/>
          <w:sz w:val="24"/>
        </w:rPr>
        <w:t>显示20.0±</w:t>
      </w:r>
      <w:r>
        <w:rPr>
          <w:rFonts w:ascii="宋体" w:hint="eastAsia"/>
          <w:sz w:val="24"/>
        </w:rPr>
        <w:t>1</w:t>
      </w:r>
      <w:r>
        <w:rPr>
          <w:rFonts w:ascii="宋体"/>
          <w:sz w:val="24"/>
        </w:rPr>
        <w:t>  </w:t>
      </w:r>
    </w:p>
    <w:p w:rsidR="00F4554D" w:rsidRDefault="008C1103" w:rsidP="00F4554D">
      <w:pPr>
        <w:widowControl/>
        <w:spacing w:line="360" w:lineRule="auto"/>
        <w:ind w:firstLineChars="200" w:firstLine="480"/>
        <w:jc w:val="lef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省电模式：5分钟无操作自动休眠，10分钟无操作自动关机</w:t>
      </w:r>
    </w:p>
    <w:p w:rsidR="00F4554D" w:rsidRDefault="00F4554D" w:rsidP="00F4554D">
      <w:pPr>
        <w:widowControl/>
        <w:spacing w:line="360" w:lineRule="auto"/>
        <w:ind w:firstLine="480"/>
        <w:rPr>
          <w:rFonts w:ascii="ˎ̥" w:hAnsi="ˎ̥" w:hint="eastAsia"/>
          <w:sz w:val="24"/>
        </w:rPr>
      </w:pPr>
      <w:r>
        <w:rPr>
          <w:rFonts w:hAnsi="Times New Roman"/>
          <w:sz w:val="24"/>
        </w:rPr>
        <w:t>仪器</w:t>
      </w:r>
      <w:r>
        <w:rPr>
          <w:rFonts w:ascii="ˎ̥" w:hAnsi="ˎ̥" w:hint="eastAsia"/>
          <w:sz w:val="24"/>
        </w:rPr>
        <w:t>体积小、重量轻、易携带</w:t>
      </w:r>
      <w:r>
        <w:rPr>
          <w:rFonts w:ascii="ˎ̥" w:hAnsi="ˎ̥"/>
          <w:sz w:val="24"/>
        </w:rPr>
        <w:t>，操作简单</w:t>
      </w:r>
    </w:p>
    <w:p w:rsidR="008C1103" w:rsidRPr="00F4554D" w:rsidRDefault="008C1103">
      <w:pPr>
        <w:widowControl/>
        <w:spacing w:line="360" w:lineRule="auto"/>
        <w:ind w:firstLine="360"/>
        <w:jc w:val="left"/>
        <w:rPr>
          <w:rFonts w:ascii="宋体"/>
          <w:sz w:val="24"/>
        </w:rPr>
      </w:pPr>
    </w:p>
    <w:p w:rsidR="008C1103" w:rsidRPr="00CC34B0" w:rsidRDefault="008C1103">
      <w:pPr>
        <w:rPr>
          <w:rFonts w:hAnsi="Times New Roman"/>
          <w:sz w:val="24"/>
        </w:rPr>
      </w:pPr>
    </w:p>
    <w:sectPr w:rsidR="008C1103" w:rsidRPr="00CC34B0">
      <w:pgSz w:w="11906" w:h="16838"/>
      <w:pgMar w:top="1134" w:right="1191" w:bottom="1134" w:left="119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443" w:rsidRDefault="00DF6443">
      <w:r>
        <w:separator/>
      </w:r>
    </w:p>
  </w:endnote>
  <w:endnote w:type="continuationSeparator" w:id="0">
    <w:p w:rsidR="00DF6443" w:rsidRDefault="00DF6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ˎ̥">
    <w:altName w:val="Arial Unicode MS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443" w:rsidRDefault="00DF6443">
      <w:r>
        <w:separator/>
      </w:r>
    </w:p>
  </w:footnote>
  <w:footnote w:type="continuationSeparator" w:id="0">
    <w:p w:rsidR="00DF6443" w:rsidRDefault="00DF6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0000"/>
  <w:defaultTabStop w:val="420"/>
  <w:defaultTableStyle w:val="a"/>
  <w:displayHorizontalDrawingGridEvery w:val="0"/>
  <w:displayVerticalDrawingGridEvery w:val="2"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6E4"/>
    <w:rsid w:val="00211B93"/>
    <w:rsid w:val="006D4137"/>
    <w:rsid w:val="008C1103"/>
    <w:rsid w:val="00A836E4"/>
    <w:rsid w:val="00DF6443"/>
    <w:rsid w:val="00F4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/>
      <w:sz w:val="21"/>
    </w:rPr>
  </w:style>
  <w:style w:type="paragraph" w:styleId="1">
    <w:name w:val="heading 1"/>
    <w:next w:val="a"/>
    <w:qFormat/>
    <w:pPr>
      <w:wordWrap w:val="0"/>
      <w:spacing w:after="160"/>
      <w:jc w:val="both"/>
      <w:outlineLvl w:val="0"/>
    </w:pPr>
    <w:rPr>
      <w:sz w:val="28"/>
    </w:rPr>
  </w:style>
  <w:style w:type="paragraph" w:styleId="2">
    <w:name w:val="heading 2"/>
    <w:next w:val="a"/>
    <w:qFormat/>
    <w:pPr>
      <w:wordWrap w:val="0"/>
      <w:spacing w:after="160"/>
      <w:jc w:val="both"/>
      <w:outlineLvl w:val="1"/>
    </w:pPr>
    <w:rPr>
      <w:sz w:val="21"/>
    </w:rPr>
  </w:style>
  <w:style w:type="paragraph" w:styleId="3">
    <w:name w:val="heading 3"/>
    <w:next w:val="a"/>
    <w:qFormat/>
    <w:pPr>
      <w:wordWrap w:val="0"/>
      <w:spacing w:after="160"/>
      <w:ind w:left="1400" w:hanging="400"/>
      <w:jc w:val="both"/>
      <w:outlineLvl w:val="2"/>
    </w:pPr>
    <w:rPr>
      <w:sz w:val="21"/>
    </w:rPr>
  </w:style>
  <w:style w:type="paragraph" w:styleId="4">
    <w:name w:val="heading 4"/>
    <w:next w:val="a"/>
    <w:qFormat/>
    <w:pPr>
      <w:wordWrap w:val="0"/>
      <w:spacing w:after="160"/>
      <w:ind w:left="1600" w:hanging="400"/>
      <w:jc w:val="both"/>
      <w:outlineLvl w:val="3"/>
    </w:pPr>
    <w:rPr>
      <w:b/>
      <w:sz w:val="21"/>
    </w:rPr>
  </w:style>
  <w:style w:type="paragraph" w:styleId="5">
    <w:name w:val="heading 5"/>
    <w:next w:val="a"/>
    <w:qFormat/>
    <w:pPr>
      <w:wordWrap w:val="0"/>
      <w:spacing w:after="160"/>
      <w:ind w:left="1800" w:hanging="400"/>
      <w:jc w:val="both"/>
      <w:outlineLvl w:val="4"/>
    </w:pPr>
    <w:rPr>
      <w:sz w:val="21"/>
    </w:rPr>
  </w:style>
  <w:style w:type="paragraph" w:styleId="6">
    <w:name w:val="heading 6"/>
    <w:next w:val="a"/>
    <w:qFormat/>
    <w:pPr>
      <w:wordWrap w:val="0"/>
      <w:spacing w:after="160"/>
      <w:ind w:left="2000" w:hanging="400"/>
      <w:jc w:val="both"/>
      <w:outlineLvl w:val="5"/>
    </w:pPr>
    <w:rPr>
      <w:b/>
      <w:sz w:val="21"/>
    </w:rPr>
  </w:style>
  <w:style w:type="paragraph" w:styleId="7">
    <w:name w:val="heading 7"/>
    <w:next w:val="a"/>
    <w:qFormat/>
    <w:pPr>
      <w:wordWrap w:val="0"/>
      <w:spacing w:after="160"/>
      <w:ind w:left="2200" w:hanging="400"/>
      <w:jc w:val="both"/>
      <w:outlineLvl w:val="6"/>
    </w:pPr>
    <w:rPr>
      <w:sz w:val="21"/>
    </w:rPr>
  </w:style>
  <w:style w:type="paragraph" w:styleId="8">
    <w:name w:val="heading 8"/>
    <w:next w:val="a"/>
    <w:qFormat/>
    <w:pPr>
      <w:wordWrap w:val="0"/>
      <w:spacing w:after="160"/>
      <w:ind w:left="2400" w:hanging="400"/>
      <w:jc w:val="both"/>
      <w:outlineLvl w:val="7"/>
    </w:pPr>
    <w:rPr>
      <w:sz w:val="21"/>
    </w:rPr>
  </w:style>
  <w:style w:type="paragraph" w:styleId="9">
    <w:name w:val="heading 9"/>
    <w:next w:val="a"/>
    <w:qFormat/>
    <w:pPr>
      <w:wordWrap w:val="0"/>
      <w:spacing w:after="160"/>
      <w:ind w:left="2600" w:hanging="400"/>
      <w:jc w:val="both"/>
      <w:outlineLvl w:val="8"/>
    </w:pPr>
    <w:rPr>
      <w:sz w:val="21"/>
    </w:rPr>
  </w:style>
  <w:style w:type="character" w:default="1" w:styleId="a0">
    <w:name w:val="Default Paragraph Font"/>
    <w:semiHidden/>
    <w:rPr>
      <w:vanish w:val="0"/>
      <w:sz w:val="20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next w:val="a"/>
    <w:qFormat/>
    <w:pPr>
      <w:wordWrap w:val="0"/>
      <w:spacing w:after="60"/>
      <w:jc w:val="center"/>
    </w:pPr>
    <w:rPr>
      <w:sz w:val="24"/>
    </w:rPr>
  </w:style>
  <w:style w:type="character" w:styleId="a4">
    <w:name w:val="Subtle Emphasis"/>
    <w:qFormat/>
    <w:rPr>
      <w:i/>
      <w:vanish w:val="0"/>
      <w:sz w:val="20"/>
    </w:rPr>
  </w:style>
  <w:style w:type="character" w:styleId="a5">
    <w:name w:val="Emphasis"/>
    <w:qFormat/>
    <w:rPr>
      <w:i/>
      <w:vanish w:val="0"/>
      <w:sz w:val="20"/>
    </w:rPr>
  </w:style>
  <w:style w:type="character" w:styleId="a6">
    <w:name w:val="Intense Emphasis"/>
    <w:qFormat/>
    <w:rPr>
      <w:i/>
      <w:vanish w:val="0"/>
      <w:sz w:val="20"/>
    </w:rPr>
  </w:style>
  <w:style w:type="character" w:styleId="a7">
    <w:name w:val="Strong"/>
    <w:basedOn w:val="a0"/>
    <w:qFormat/>
    <w:rPr>
      <w:b/>
      <w:vanish w:val="0"/>
      <w:sz w:val="20"/>
    </w:rPr>
  </w:style>
  <w:style w:type="paragraph" w:styleId="a8">
    <w:name w:val="Quote"/>
    <w:next w:val="a"/>
    <w:qFormat/>
    <w:pPr>
      <w:wordWrap w:val="0"/>
      <w:spacing w:before="200" w:after="160"/>
      <w:ind w:left="864" w:right="864"/>
      <w:jc w:val="center"/>
    </w:pPr>
    <w:rPr>
      <w:i/>
      <w:sz w:val="21"/>
    </w:rPr>
  </w:style>
  <w:style w:type="paragraph" w:styleId="a9">
    <w:name w:val="Intense Quote"/>
    <w:next w:val="a"/>
    <w:qFormat/>
    <w:pPr>
      <w:wordWrap w:val="0"/>
      <w:spacing w:before="360" w:after="360"/>
      <w:ind w:left="950" w:right="950"/>
      <w:jc w:val="center"/>
    </w:pPr>
    <w:rPr>
      <w:i/>
      <w:sz w:val="21"/>
    </w:rPr>
  </w:style>
  <w:style w:type="character" w:styleId="aa">
    <w:name w:val="Subtle Reference"/>
    <w:qFormat/>
    <w:rPr>
      <w:vanish w:val="0"/>
      <w:sz w:val="20"/>
    </w:rPr>
  </w:style>
  <w:style w:type="character" w:styleId="ab">
    <w:name w:val="Intense Reference"/>
    <w:qFormat/>
    <w:rPr>
      <w:b/>
      <w:vanish w:val="0"/>
      <w:sz w:val="20"/>
    </w:rPr>
  </w:style>
  <w:style w:type="character" w:styleId="ac">
    <w:name w:val="Book Title"/>
    <w:qFormat/>
    <w:rPr>
      <w:b/>
      <w:i/>
      <w:vanish w:val="0"/>
      <w:sz w:val="20"/>
    </w:rPr>
  </w:style>
  <w:style w:type="paragraph" w:styleId="ad">
    <w:name w:val="List Paragraph"/>
    <w:next w:val="a"/>
    <w:qFormat/>
    <w:pPr>
      <w:wordWrap w:val="0"/>
      <w:ind w:left="850"/>
      <w:jc w:val="both"/>
    </w:pPr>
    <w:rPr>
      <w:sz w:val="21"/>
    </w:rPr>
  </w:style>
  <w:style w:type="paragraph" w:styleId="TOC">
    <w:name w:val="TOC Heading"/>
    <w:next w:val="a"/>
    <w:pPr>
      <w:wordWrap w:val="0"/>
    </w:pPr>
    <w:rPr>
      <w:color w:val="2E74B5"/>
      <w:sz w:val="32"/>
    </w:rPr>
  </w:style>
  <w:style w:type="paragraph" w:styleId="20">
    <w:name w:val="toc 2"/>
    <w:next w:val="a"/>
    <w:pPr>
      <w:wordWrap w:val="0"/>
      <w:jc w:val="both"/>
    </w:pPr>
    <w:rPr>
      <w:sz w:val="21"/>
    </w:rPr>
  </w:style>
  <w:style w:type="paragraph" w:styleId="30">
    <w:name w:val="toc 3"/>
    <w:next w:val="a"/>
    <w:pPr>
      <w:wordWrap w:val="0"/>
      <w:ind w:left="425"/>
      <w:jc w:val="both"/>
    </w:pPr>
    <w:rPr>
      <w:sz w:val="21"/>
    </w:rPr>
  </w:style>
  <w:style w:type="paragraph" w:styleId="40">
    <w:name w:val="toc 4"/>
    <w:next w:val="a"/>
    <w:pPr>
      <w:wordWrap w:val="0"/>
      <w:ind w:left="850"/>
      <w:jc w:val="both"/>
    </w:pPr>
    <w:rPr>
      <w:sz w:val="21"/>
    </w:rPr>
  </w:style>
  <w:style w:type="paragraph" w:styleId="50">
    <w:name w:val="toc 5"/>
    <w:next w:val="a"/>
    <w:pPr>
      <w:wordWrap w:val="0"/>
      <w:ind w:left="1275"/>
      <w:jc w:val="both"/>
    </w:pPr>
    <w:rPr>
      <w:sz w:val="21"/>
    </w:rPr>
  </w:style>
  <w:style w:type="paragraph" w:styleId="60">
    <w:name w:val="toc 6"/>
    <w:next w:val="a"/>
    <w:pPr>
      <w:wordWrap w:val="0"/>
      <w:ind w:left="1700"/>
      <w:jc w:val="both"/>
    </w:pPr>
    <w:rPr>
      <w:sz w:val="21"/>
    </w:rPr>
  </w:style>
  <w:style w:type="paragraph" w:styleId="70">
    <w:name w:val="toc 7"/>
    <w:next w:val="a"/>
    <w:pPr>
      <w:wordWrap w:val="0"/>
      <w:ind w:left="2125"/>
      <w:jc w:val="both"/>
    </w:pPr>
    <w:rPr>
      <w:sz w:val="21"/>
    </w:rPr>
  </w:style>
  <w:style w:type="paragraph" w:styleId="80">
    <w:name w:val="toc 8"/>
    <w:next w:val="a"/>
    <w:pPr>
      <w:wordWrap w:val="0"/>
      <w:ind w:left="2550"/>
      <w:jc w:val="both"/>
    </w:pPr>
    <w:rPr>
      <w:sz w:val="21"/>
    </w:rPr>
  </w:style>
  <w:style w:type="paragraph" w:styleId="90">
    <w:name w:val="toc 9"/>
    <w:next w:val="a"/>
    <w:pPr>
      <w:wordWrap w:val="0"/>
      <w:ind w:left="2975"/>
      <w:jc w:val="both"/>
    </w:pPr>
    <w:rPr>
      <w:sz w:val="21"/>
    </w:rPr>
  </w:style>
  <w:style w:type="paragraph" w:styleId="ae">
    <w:name w:val="Normal Indent"/>
    <w:next w:val="a"/>
    <w:pPr>
      <w:wordWrap w:val="0"/>
      <w:ind w:left="3400"/>
      <w:jc w:val="both"/>
    </w:pPr>
    <w:rPr>
      <w:sz w:val="21"/>
    </w:rPr>
  </w:style>
  <w:style w:type="paragraph" w:styleId="TOC0">
    <w:name w:val="TOC Heading"/>
    <w:next w:val="a"/>
    <w:pPr>
      <w:wordWrap w:val="0"/>
    </w:pPr>
    <w:rPr>
      <w:sz w:val="32"/>
    </w:rPr>
  </w:style>
  <w:style w:type="paragraph" w:styleId="21">
    <w:name w:val="toc 2"/>
    <w:next w:val="a"/>
    <w:pPr>
      <w:wordWrap w:val="0"/>
      <w:jc w:val="both"/>
    </w:pPr>
    <w:rPr>
      <w:sz w:val="21"/>
    </w:rPr>
  </w:style>
  <w:style w:type="paragraph" w:styleId="31">
    <w:name w:val="toc 3"/>
    <w:next w:val="a"/>
    <w:pPr>
      <w:wordWrap w:val="0"/>
      <w:ind w:left="425"/>
      <w:jc w:val="both"/>
    </w:pPr>
    <w:rPr>
      <w:sz w:val="21"/>
    </w:rPr>
  </w:style>
  <w:style w:type="paragraph" w:styleId="41">
    <w:name w:val="toc 4"/>
    <w:next w:val="a"/>
    <w:pPr>
      <w:wordWrap w:val="0"/>
      <w:ind w:left="850"/>
      <w:jc w:val="both"/>
    </w:pPr>
    <w:rPr>
      <w:sz w:val="21"/>
    </w:rPr>
  </w:style>
  <w:style w:type="paragraph" w:styleId="51">
    <w:name w:val="toc 5"/>
    <w:next w:val="a"/>
    <w:pPr>
      <w:wordWrap w:val="0"/>
      <w:ind w:left="1275"/>
      <w:jc w:val="both"/>
    </w:pPr>
    <w:rPr>
      <w:sz w:val="21"/>
    </w:rPr>
  </w:style>
  <w:style w:type="paragraph" w:styleId="61">
    <w:name w:val="toc 6"/>
    <w:next w:val="a"/>
    <w:pPr>
      <w:wordWrap w:val="0"/>
      <w:ind w:left="1700"/>
      <w:jc w:val="both"/>
    </w:pPr>
    <w:rPr>
      <w:sz w:val="21"/>
    </w:rPr>
  </w:style>
  <w:style w:type="paragraph" w:styleId="71">
    <w:name w:val="toc 7"/>
    <w:next w:val="a"/>
    <w:pPr>
      <w:wordWrap w:val="0"/>
      <w:ind w:left="2125"/>
      <w:jc w:val="both"/>
    </w:pPr>
    <w:rPr>
      <w:sz w:val="21"/>
    </w:rPr>
  </w:style>
  <w:style w:type="paragraph" w:styleId="81">
    <w:name w:val="toc 8"/>
    <w:next w:val="a"/>
    <w:pPr>
      <w:wordWrap w:val="0"/>
      <w:ind w:left="2550"/>
      <w:jc w:val="both"/>
    </w:pPr>
    <w:rPr>
      <w:sz w:val="21"/>
    </w:rPr>
  </w:style>
  <w:style w:type="paragraph" w:styleId="91">
    <w:name w:val="toc 9"/>
    <w:next w:val="a"/>
    <w:pPr>
      <w:wordWrap w:val="0"/>
      <w:ind w:left="2975"/>
      <w:jc w:val="both"/>
    </w:pPr>
    <w:rPr>
      <w:sz w:val="21"/>
    </w:rPr>
  </w:style>
  <w:style w:type="paragraph" w:styleId="af">
    <w:name w:val="Normal Indent"/>
    <w:next w:val="a"/>
    <w:pPr>
      <w:wordWrap w:val="0"/>
      <w:ind w:left="3400"/>
      <w:jc w:val="both"/>
    </w:pPr>
    <w:rPr>
      <w:sz w:val="21"/>
    </w:rPr>
  </w:style>
  <w:style w:type="paragraph" w:styleId="TOC1">
    <w:name w:val="TOC Heading"/>
    <w:next w:val="a"/>
    <w:qFormat/>
    <w:pPr>
      <w:wordWrap w:val="0"/>
    </w:pPr>
    <w:rPr>
      <w:sz w:val="32"/>
    </w:rPr>
  </w:style>
  <w:style w:type="paragraph" w:styleId="22">
    <w:name w:val="toc 2"/>
    <w:next w:val="a"/>
    <w:pPr>
      <w:wordWrap w:val="0"/>
      <w:jc w:val="both"/>
    </w:pPr>
    <w:rPr>
      <w:sz w:val="21"/>
    </w:rPr>
  </w:style>
  <w:style w:type="paragraph" w:styleId="32">
    <w:name w:val="toc 3"/>
    <w:next w:val="a"/>
    <w:pPr>
      <w:wordWrap w:val="0"/>
      <w:ind w:left="425"/>
      <w:jc w:val="both"/>
    </w:pPr>
    <w:rPr>
      <w:sz w:val="21"/>
    </w:rPr>
  </w:style>
  <w:style w:type="paragraph" w:styleId="42">
    <w:name w:val="toc 4"/>
    <w:next w:val="a"/>
    <w:pPr>
      <w:wordWrap w:val="0"/>
      <w:ind w:left="850"/>
      <w:jc w:val="both"/>
    </w:pPr>
    <w:rPr>
      <w:sz w:val="21"/>
    </w:rPr>
  </w:style>
  <w:style w:type="paragraph" w:styleId="52">
    <w:name w:val="toc 5"/>
    <w:next w:val="a"/>
    <w:pPr>
      <w:wordWrap w:val="0"/>
      <w:ind w:left="1275"/>
      <w:jc w:val="both"/>
    </w:pPr>
    <w:rPr>
      <w:sz w:val="21"/>
    </w:rPr>
  </w:style>
  <w:style w:type="paragraph" w:styleId="62">
    <w:name w:val="toc 6"/>
    <w:next w:val="a"/>
    <w:pPr>
      <w:wordWrap w:val="0"/>
      <w:ind w:left="1700"/>
      <w:jc w:val="both"/>
    </w:pPr>
    <w:rPr>
      <w:sz w:val="21"/>
    </w:rPr>
  </w:style>
  <w:style w:type="paragraph" w:styleId="72">
    <w:name w:val="toc 7"/>
    <w:next w:val="a"/>
    <w:pPr>
      <w:wordWrap w:val="0"/>
      <w:ind w:left="2125"/>
      <w:jc w:val="both"/>
    </w:pPr>
    <w:rPr>
      <w:sz w:val="21"/>
    </w:rPr>
  </w:style>
  <w:style w:type="paragraph" w:styleId="82">
    <w:name w:val="toc 8"/>
    <w:next w:val="a"/>
    <w:pPr>
      <w:wordWrap w:val="0"/>
      <w:ind w:left="2550"/>
      <w:jc w:val="both"/>
    </w:pPr>
    <w:rPr>
      <w:sz w:val="21"/>
    </w:rPr>
  </w:style>
  <w:style w:type="paragraph" w:styleId="92">
    <w:name w:val="toc 9"/>
    <w:next w:val="a"/>
    <w:pPr>
      <w:wordWrap w:val="0"/>
      <w:ind w:left="2975"/>
      <w:jc w:val="both"/>
    </w:pPr>
    <w:rPr>
      <w:sz w:val="21"/>
    </w:rPr>
  </w:style>
  <w:style w:type="paragraph" w:styleId="af0">
    <w:name w:val="Normal Indent"/>
    <w:next w:val="a"/>
    <w:pPr>
      <w:wordWrap w:val="0"/>
      <w:ind w:left="3400"/>
      <w:jc w:val="both"/>
    </w:pPr>
    <w:rPr>
      <w:sz w:val="21"/>
    </w:rPr>
  </w:style>
  <w:style w:type="paragraph" w:styleId="af1">
    <w:name w:val="header"/>
    <w:basedOn w:val="a"/>
    <w:link w:val="Char"/>
    <w:uiPriority w:val="99"/>
    <w:semiHidden/>
    <w:unhideWhenUsed/>
    <w:rsid w:val="00A83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1"/>
    <w:uiPriority w:val="99"/>
    <w:semiHidden/>
    <w:rsid w:val="00A836E4"/>
    <w:rPr>
      <w:rFonts w:ascii="Times New Roman" w:eastAsia="宋体"/>
      <w:sz w:val="18"/>
      <w:szCs w:val="18"/>
    </w:rPr>
  </w:style>
  <w:style w:type="paragraph" w:styleId="af2">
    <w:name w:val="footer"/>
    <w:basedOn w:val="a"/>
    <w:link w:val="Char0"/>
    <w:uiPriority w:val="99"/>
    <w:semiHidden/>
    <w:unhideWhenUsed/>
    <w:rsid w:val="00A83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f2"/>
    <w:uiPriority w:val="99"/>
    <w:semiHidden/>
    <w:rsid w:val="00A836E4"/>
    <w:rPr>
      <w:rFonts w:ascii="Times New Roman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Notes>0</Notes>
  <ScaleCrop>false</ScaleCrop>
  <Company>Microsoft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asus</cp:lastModifiedBy>
  <cp:revision>2</cp:revision>
  <dcterms:created xsi:type="dcterms:W3CDTF">2018-12-12T01:34:00Z</dcterms:created>
  <dcterms:modified xsi:type="dcterms:W3CDTF">2018-12-12T01:34:00Z</dcterms:modified>
</cp:coreProperties>
</file>