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372F0">
      <w:pPr>
        <w:spacing w:line="1500" w:lineRule="exact"/>
        <w:rPr>
          <w:rFonts w:ascii="宋体" w:hAnsi="宋体" w:cs="宋体"/>
          <w:b/>
          <w:bCs/>
          <w:color w:val="000000" w:themeColor="text1"/>
          <w:sz w:val="72"/>
          <w:szCs w:val="72"/>
          <w:lang w:val="zh-CN"/>
          <w14:textFill>
            <w14:solidFill>
              <w14:schemeClr w14:val="tx1"/>
            </w14:solidFill>
          </w14:textFill>
        </w:rPr>
      </w:pPr>
    </w:p>
    <w:p w14:paraId="582C0E7F">
      <w:pPr>
        <w:pStyle w:val="86"/>
        <w:rPr>
          <w:rFonts w:ascii="宋体" w:hAnsi="宋体" w:cs="宋体"/>
          <w:color w:val="000000" w:themeColor="text1"/>
          <w:lang w:val="zh-CN"/>
          <w14:textFill>
            <w14:solidFill>
              <w14:schemeClr w14:val="tx1"/>
            </w14:solidFill>
          </w14:textFill>
        </w:rPr>
      </w:pPr>
    </w:p>
    <w:p w14:paraId="74018F45">
      <w:pPr>
        <w:spacing w:line="1400" w:lineRule="exact"/>
        <w:jc w:val="center"/>
        <w:rPr>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473A0DA2">
      <w:pPr>
        <w:spacing w:line="1400" w:lineRule="exact"/>
        <w:jc w:val="center"/>
        <w:rPr>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1312BFD5">
      <w:pPr>
        <w:spacing w:line="500" w:lineRule="atLeast"/>
        <w:jc w:val="center"/>
        <w:rPr>
          <w:rFonts w:ascii="宋体" w:hAnsi="宋体" w:cs="宋体"/>
          <w:b/>
          <w:bCs/>
          <w:color w:val="000000" w:themeColor="text1"/>
          <w:sz w:val="36"/>
          <w:szCs w:val="36"/>
          <w14:textFill>
            <w14:solidFill>
              <w14:schemeClr w14:val="tx1"/>
            </w14:solidFill>
          </w14:textFill>
        </w:rPr>
      </w:pPr>
    </w:p>
    <w:p w14:paraId="3B86D0C0">
      <w:pPr>
        <w:spacing w:line="500" w:lineRule="atLeast"/>
        <w:rPr>
          <w:rFonts w:ascii="宋体" w:hAnsi="宋体" w:cs="宋体"/>
          <w:b/>
          <w:bCs/>
          <w:color w:val="000000" w:themeColor="text1"/>
          <w:sz w:val="36"/>
          <w:szCs w:val="36"/>
          <w14:textFill>
            <w14:solidFill>
              <w14:schemeClr w14:val="tx1"/>
            </w14:solidFill>
          </w14:textFill>
        </w:rPr>
      </w:pPr>
    </w:p>
    <w:p w14:paraId="3203BFE6">
      <w:pPr>
        <w:spacing w:line="360" w:lineRule="auto"/>
        <w:jc w:val="left"/>
        <w:rPr>
          <w:rFonts w:ascii="宋体" w:hAnsi="宋体" w:cs="宋体"/>
          <w:b/>
          <w:bCs/>
          <w:color w:val="000000" w:themeColor="text1"/>
          <w:sz w:val="30"/>
          <w:szCs w:val="30"/>
          <w:lang w:val="zh-CN"/>
          <w14:textFill>
            <w14:solidFill>
              <w14:schemeClr w14:val="tx1"/>
            </w14:solidFill>
          </w14:textFill>
        </w:rPr>
      </w:pPr>
    </w:p>
    <w:p w14:paraId="5295EDE8">
      <w:pPr>
        <w:spacing w:line="360" w:lineRule="auto"/>
        <w:ind w:firstLine="2238" w:firstLineChars="746"/>
        <w:jc w:val="left"/>
        <w:rPr>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竞价编号：FJGCWSJJ-FS-2026-022</w:t>
      </w:r>
    </w:p>
    <w:p w14:paraId="77ED0E5C">
      <w:pPr>
        <w:spacing w:line="360" w:lineRule="auto"/>
        <w:ind w:left="3696" w:leftChars="1046" w:hanging="1500" w:hangingChars="500"/>
        <w:jc w:val="left"/>
        <w:rPr>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项目名称：福州职业技术学院《新能源汽车底盘技术》金教材建设项目</w:t>
      </w:r>
    </w:p>
    <w:p w14:paraId="4755532D">
      <w:pPr>
        <w:pStyle w:val="86"/>
        <w:spacing w:after="0"/>
        <w:ind w:leftChars="0" w:firstLine="0"/>
        <w:jc w:val="center"/>
        <w:rPr>
          <w:rFonts w:ascii="宋体" w:hAnsi="宋体" w:cs="宋体"/>
          <w:b/>
          <w:bCs/>
          <w:color w:val="000000" w:themeColor="text1"/>
          <w:sz w:val="30"/>
          <w:szCs w:val="30"/>
          <w:lang w:val="zh-CN"/>
          <w14:textFill>
            <w14:solidFill>
              <w14:schemeClr w14:val="tx1"/>
            </w14:solidFill>
          </w14:textFill>
        </w:rPr>
      </w:pPr>
    </w:p>
    <w:p w14:paraId="1D411034">
      <w:pPr>
        <w:pStyle w:val="86"/>
        <w:spacing w:after="0"/>
        <w:ind w:left="0" w:leftChars="0" w:firstLine="0"/>
        <w:jc w:val="center"/>
        <w:rPr>
          <w:rFonts w:ascii="宋体" w:hAnsi="宋体" w:cs="宋体"/>
          <w:b/>
          <w:bCs/>
          <w:color w:val="000000" w:themeColor="text1"/>
          <w:sz w:val="30"/>
          <w:szCs w:val="30"/>
          <w14:textFill>
            <w14:solidFill>
              <w14:schemeClr w14:val="tx1"/>
            </w14:solidFill>
          </w14:textFill>
        </w:rPr>
      </w:pPr>
    </w:p>
    <w:p w14:paraId="68C7B5D2">
      <w:pPr>
        <w:pStyle w:val="86"/>
        <w:spacing w:after="0"/>
        <w:ind w:left="0" w:leftChars="0" w:firstLine="0"/>
        <w:jc w:val="center"/>
        <w:rPr>
          <w:rFonts w:ascii="宋体" w:hAnsi="宋体" w:cs="宋体"/>
          <w:b/>
          <w:bCs/>
          <w:color w:val="000000" w:themeColor="text1"/>
          <w:sz w:val="30"/>
          <w:szCs w:val="30"/>
          <w14:textFill>
            <w14:solidFill>
              <w14:schemeClr w14:val="tx1"/>
            </w14:solidFill>
          </w14:textFill>
        </w:rPr>
      </w:pPr>
    </w:p>
    <w:p w14:paraId="1A3F4E3B">
      <w:pPr>
        <w:pStyle w:val="86"/>
        <w:spacing w:after="0"/>
        <w:ind w:left="0" w:leftChars="0" w:firstLine="2400" w:firstLineChars="800"/>
        <w:jc w:val="left"/>
        <w:rPr>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0FF9C274">
      <w:pPr>
        <w:pStyle w:val="86"/>
        <w:spacing w:after="0"/>
        <w:ind w:left="0" w:leftChars="0" w:firstLine="2400" w:firstLineChars="800"/>
        <w:jc w:val="left"/>
        <w:rPr>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3F90EF4C">
      <w:pPr>
        <w:spacing w:line="360" w:lineRule="auto"/>
        <w:jc w:val="center"/>
        <w:rPr>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二○二六年四月</w:t>
      </w:r>
    </w:p>
    <w:p w14:paraId="6A9A7F60">
      <w:pPr>
        <w:spacing w:line="500" w:lineRule="exact"/>
        <w:jc w:val="center"/>
        <w:rPr>
          <w:rFonts w:ascii="宋体" w:hAnsi="宋体" w:cs="宋体"/>
          <w:b/>
          <w:color w:val="000000" w:themeColor="text1"/>
          <w:sz w:val="24"/>
          <w:u w:val="single"/>
          <w14:textFill>
            <w14:solidFill>
              <w14:schemeClr w14:val="tx1"/>
            </w14:solidFill>
          </w14:textFill>
        </w:rPr>
      </w:pPr>
    </w:p>
    <w:p w14:paraId="1F1EA283">
      <w:pPr>
        <w:spacing w:line="500" w:lineRule="exact"/>
        <w:rPr>
          <w:rFonts w:ascii="宋体" w:hAnsi="宋体" w:cs="宋体"/>
          <w:color w:val="000000" w:themeColor="text1"/>
          <w:sz w:val="24"/>
          <w14:textFill>
            <w14:solidFill>
              <w14:schemeClr w14:val="tx1"/>
            </w14:solidFill>
          </w14:textFill>
        </w:rPr>
      </w:pPr>
    </w:p>
    <w:p w14:paraId="1FA127CA">
      <w:pPr>
        <w:spacing w:line="500" w:lineRule="exact"/>
        <w:rPr>
          <w:rFonts w:ascii="宋体" w:hAnsi="宋体" w:cs="宋体"/>
          <w:color w:val="000000" w:themeColor="text1"/>
          <w:sz w:val="24"/>
          <w14:textFill>
            <w14:solidFill>
              <w14:schemeClr w14:val="tx1"/>
            </w14:solidFill>
          </w14:textFill>
        </w:rPr>
      </w:pPr>
    </w:p>
    <w:p w14:paraId="069A8A02">
      <w:pPr>
        <w:spacing w:line="500" w:lineRule="exact"/>
        <w:rPr>
          <w:rFonts w:ascii="宋体" w:hAnsi="宋体" w:cs="宋体"/>
          <w:color w:val="000000" w:themeColor="text1"/>
          <w:sz w:val="24"/>
          <w14:textFill>
            <w14:solidFill>
              <w14:schemeClr w14:val="tx1"/>
            </w14:solidFill>
          </w14:textFill>
        </w:rPr>
      </w:pPr>
    </w:p>
    <w:p w14:paraId="742A7AC5">
      <w:pPr>
        <w:pStyle w:val="54"/>
        <w:spacing w:line="500" w:lineRule="exact"/>
        <w:jc w:val="center"/>
        <w:rPr>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1E9DC218">
          <w:pPr>
            <w:jc w:val="center"/>
          </w:pPr>
        </w:p>
        <w:p w14:paraId="640647D3">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6449858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6CF8C5ED">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03B76A33">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2FD16788">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0F46F337">
      <w:pPr>
        <w:pStyle w:val="7"/>
      </w:pPr>
    </w:p>
    <w:p w14:paraId="33369588">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2940127E">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67F92E4D">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5A45EF09">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72A42302">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41B6B429">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3138012D">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568680F9">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5D3561D9">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25829A8F">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2E35A94F">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59B8CEB6">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7708BDAF">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2B2C5B61">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21531608">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2263AA0D">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566234DB">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53B11A27">
      <w:pPr>
        <w:spacing w:line="500" w:lineRule="exact"/>
        <w:ind w:firstLine="480" w:firstLineChars="200"/>
        <w:jc w:val="center"/>
        <w:rPr>
          <w:rFonts w:ascii="宋体" w:hAnsi="宋体" w:cs="宋体"/>
          <w:b/>
          <w:bCs/>
          <w:color w:val="000000" w:themeColor="text1"/>
          <w:kern w:val="0"/>
          <w:sz w:val="24"/>
          <w14:textFill>
            <w14:solidFill>
              <w14:schemeClr w14:val="tx1"/>
            </w14:solidFill>
          </w14:textFill>
        </w:rPr>
      </w:pPr>
    </w:p>
    <w:p w14:paraId="25A40E34">
      <w:pPr>
        <w:spacing w:line="500" w:lineRule="exact"/>
        <w:jc w:val="left"/>
        <w:textAlignment w:val="auto"/>
        <w:rPr>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76410C5E">
      <w:pPr>
        <w:spacing w:line="500" w:lineRule="exact"/>
        <w:jc w:val="center"/>
        <w:outlineLvl w:val="1"/>
        <w:rPr>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5D1B046">
      <w:pPr>
        <w:spacing w:line="500" w:lineRule="exact"/>
        <w:ind w:firstLine="480" w:firstLineChars="200"/>
        <w:jc w:val="left"/>
        <w:rPr>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w:t>
      </w:r>
      <w:r>
        <w:rPr>
          <w:rStyle w:val="23"/>
          <w:rFonts w:hint="eastAsia" w:ascii="宋体" w:hAnsi="宋体" w:cs="宋体"/>
          <w:color w:val="000000" w:themeColor="text1"/>
          <w:kern w:val="0"/>
          <w:sz w:val="24"/>
          <w:u w:val="single"/>
          <w:lang w:eastAsia="zh-CN"/>
          <w14:textFill>
            <w14:solidFill>
              <w14:schemeClr w14:val="tx1"/>
            </w14:solidFill>
          </w14:textFill>
        </w:rPr>
        <w:t>福州职业技术学院《新能源汽车底盘技术》金教材建设项目</w:t>
      </w:r>
      <w:r>
        <w:rPr>
          <w:rStyle w:val="23"/>
          <w:rFonts w:hint="eastAsia" w:ascii="宋体" w:hAnsi="宋体" w:cs="宋体"/>
          <w:color w:val="000000" w:themeColor="text1"/>
          <w:kern w:val="0"/>
          <w:sz w:val="24"/>
          <w14:textFill>
            <w14:solidFill>
              <w14:schemeClr w14:val="tx1"/>
            </w14:solidFill>
          </w14:textFill>
        </w:rPr>
        <w:t>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086CE094">
      <w:pPr>
        <w:spacing w:line="500" w:lineRule="exact"/>
        <w:ind w:firstLine="480" w:firstLineChars="200"/>
        <w:jc w:val="left"/>
        <w:rPr>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w:t>
      </w:r>
      <w:r>
        <w:rPr>
          <w:rStyle w:val="23"/>
          <w:rFonts w:hint="eastAsia" w:ascii="宋体" w:hAnsi="宋体" w:cs="宋体"/>
          <w:color w:val="000000" w:themeColor="text1"/>
          <w:kern w:val="0"/>
          <w:sz w:val="24"/>
          <w:lang w:eastAsia="zh-CN"/>
          <w14:textFill>
            <w14:solidFill>
              <w14:schemeClr w14:val="tx1"/>
            </w14:solidFill>
          </w14:textFill>
        </w:rPr>
        <w:t>FJGCWSJJ-FS-2026-022</w:t>
      </w:r>
    </w:p>
    <w:p w14:paraId="242157A6">
      <w:pPr>
        <w:spacing w:line="500" w:lineRule="exact"/>
        <w:ind w:firstLine="480" w:firstLineChars="200"/>
        <w:jc w:val="left"/>
        <w:rPr>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w:t>
      </w:r>
      <w:r>
        <w:rPr>
          <w:rStyle w:val="23"/>
          <w:rFonts w:hint="eastAsia" w:ascii="宋体" w:hAnsi="宋体" w:cs="宋体"/>
          <w:color w:val="000000" w:themeColor="text1"/>
          <w:kern w:val="0"/>
          <w:sz w:val="24"/>
          <w:lang w:eastAsia="zh-CN"/>
          <w14:textFill>
            <w14:solidFill>
              <w14:schemeClr w14:val="tx1"/>
            </w14:solidFill>
          </w14:textFill>
        </w:rPr>
        <w:t>福州职业技术学院《新能源汽车底盘技术》金教材建设项目</w:t>
      </w:r>
    </w:p>
    <w:p w14:paraId="7FD9D1F7">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590648D">
      <w:pPr>
        <w:spacing w:line="500" w:lineRule="exact"/>
        <w:ind w:firstLine="480" w:firstLineChars="200"/>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3B8864E9">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日17:00:00</w:t>
      </w:r>
    </w:p>
    <w:p w14:paraId="3230ECA7">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日17:00:00</w:t>
      </w:r>
    </w:p>
    <w:p w14:paraId="27757830">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日09:00:00</w:t>
      </w:r>
    </w:p>
    <w:p w14:paraId="393002A9">
      <w:pPr>
        <w:spacing w:line="500" w:lineRule="exact"/>
        <w:ind w:firstLine="480" w:firstLineChars="200"/>
        <w:rPr>
          <w:rFonts w:ascii="宋体" w:hAnsi="宋体" w:cs="宋体"/>
          <w:sz w:val="24"/>
        </w:rPr>
      </w:pPr>
      <w:r>
        <w:rPr>
          <w:rFonts w:hint="eastAsia" w:ascii="宋体" w:hAnsi="宋体" w:cs="宋体"/>
          <w:sz w:val="24"/>
        </w:rPr>
        <w:t xml:space="preserve">网上竞价截止时间：2026年 </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日11:00:00</w:t>
      </w:r>
    </w:p>
    <w:p w14:paraId="686821D3">
      <w:pPr>
        <w:spacing w:line="500" w:lineRule="exact"/>
        <w:ind w:firstLine="480" w:firstLineChars="200"/>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34A7E906">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74CFE328">
      <w:pPr>
        <w:spacing w:line="500" w:lineRule="exact"/>
        <w:ind w:firstLine="480" w:firstLineChars="200"/>
        <w:jc w:val="left"/>
        <w:rPr>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3CC9CC10">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7B51D542">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37EAF8CD">
      <w:pPr>
        <w:spacing w:line="500" w:lineRule="exact"/>
        <w:ind w:firstLine="480" w:firstLineChars="200"/>
        <w:rPr>
          <w:rFonts w:ascii="宋体" w:hAnsi="宋体" w:cs="宋体"/>
          <w:color w:val="000000" w:themeColor="text1"/>
          <w:sz w:val="24"/>
          <w:highlight w:val="yellow"/>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联系人及电话：林</w:t>
      </w:r>
      <w:r>
        <w:rPr>
          <w:rStyle w:val="23"/>
          <w:rFonts w:hint="eastAsia" w:ascii="宋体" w:hAnsi="宋体" w:cs="宋体"/>
          <w:color w:val="000000" w:themeColor="text1"/>
          <w:sz w:val="24"/>
          <w:lang w:val="en-US" w:eastAsia="zh-CN"/>
          <w14:textFill>
            <w14:solidFill>
              <w14:schemeClr w14:val="tx1"/>
            </w14:solidFill>
          </w14:textFill>
        </w:rPr>
        <w:t>老师</w:t>
      </w:r>
      <w:r>
        <w:rPr>
          <w:rStyle w:val="23"/>
          <w:rFonts w:hint="eastAsia" w:ascii="宋体" w:hAnsi="宋体" w:cs="宋体"/>
          <w:color w:val="000000" w:themeColor="text1"/>
          <w:sz w:val="24"/>
          <w14:textFill>
            <w14:solidFill>
              <w14:schemeClr w14:val="tx1"/>
            </w14:solidFill>
          </w14:textFill>
        </w:rPr>
        <w:t>/13675042386</w:t>
      </w:r>
    </w:p>
    <w:p w14:paraId="706D4151">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7BD4A0FE">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56417097">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邮  编：350001</w:t>
      </w:r>
    </w:p>
    <w:p w14:paraId="65FE7EF9">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5C91959">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项目负责人：陈伟</w:t>
      </w:r>
    </w:p>
    <w:p w14:paraId="152CB259">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540FE4F1">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7A220DB2">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3572D4D5">
      <w:pPr>
        <w:pStyle w:val="51"/>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00A81B7C">
      <w:pPr>
        <w:pStyle w:val="51"/>
        <w:spacing w:beforeAutospacing="0" w:afterAutospacing="0" w:line="500" w:lineRule="exact"/>
        <w:ind w:firstLine="480" w:firstLineChars="200"/>
        <w:rPr>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13382158">
      <w:pPr>
        <w:pStyle w:val="51"/>
        <w:spacing w:beforeAutospacing="0" w:afterAutospacing="0" w:line="500" w:lineRule="exact"/>
        <w:ind w:firstLine="480" w:firstLineChars="200"/>
        <w:rPr>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39523C5E">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5A8BA461">
      <w:pPr>
        <w:spacing w:line="500" w:lineRule="exact"/>
        <w:ind w:firstLine="480" w:firstLineChars="200"/>
        <w:jc w:val="left"/>
        <w:rPr>
          <w:rFonts w:ascii="宋体" w:hAnsi="宋体" w:cs="宋体"/>
          <w:sz w:val="24"/>
        </w:rPr>
      </w:pPr>
      <w:r>
        <w:rPr>
          <w:rStyle w:val="23"/>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539F2F1E">
      <w:pPr>
        <w:spacing w:line="500" w:lineRule="exact"/>
        <w:ind w:firstLine="480" w:firstLineChars="200"/>
        <w:jc w:val="left"/>
        <w:rPr>
          <w:rFonts w:ascii="宋体" w:hAnsi="宋体" w:cs="宋体"/>
          <w:sz w:val="24"/>
        </w:rPr>
      </w:pPr>
      <w:r>
        <w:rPr>
          <w:rStyle w:val="23"/>
          <w:rFonts w:hint="eastAsia" w:ascii="宋体" w:hAnsi="宋体" w:cs="宋体"/>
          <w:sz w:val="24"/>
        </w:rPr>
        <w:t>(2)竞价供应商须提供竞价承诺书；</w:t>
      </w:r>
    </w:p>
    <w:p w14:paraId="2590B41F">
      <w:pPr>
        <w:spacing w:line="500" w:lineRule="exact"/>
        <w:ind w:firstLine="480" w:firstLineChars="200"/>
        <w:jc w:val="left"/>
        <w:rPr>
          <w:rFonts w:ascii="宋体" w:hAnsi="宋体" w:cs="宋体"/>
          <w:sz w:val="24"/>
        </w:rPr>
      </w:pPr>
      <w:r>
        <w:rPr>
          <w:rStyle w:val="23"/>
          <w:rFonts w:hint="eastAsia" w:ascii="宋体" w:hAnsi="宋体" w:cs="宋体"/>
          <w:sz w:val="24"/>
        </w:rPr>
        <w:t>(3)竞价保证金凭证复印件；</w:t>
      </w:r>
    </w:p>
    <w:p w14:paraId="5E4D2FF5">
      <w:pPr>
        <w:wordWrap w:val="0"/>
        <w:spacing w:line="500" w:lineRule="exact"/>
        <w:ind w:firstLine="480" w:firstLineChars="200"/>
        <w:jc w:val="left"/>
        <w:rPr>
          <w:rFonts w:ascii="宋体" w:hAnsi="宋体"/>
          <w:sz w:val="24"/>
        </w:rPr>
      </w:pPr>
      <w:r>
        <w:rPr>
          <w:rStyle w:val="23"/>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2067B906">
      <w:pPr>
        <w:spacing w:line="500" w:lineRule="exact"/>
        <w:ind w:firstLine="480" w:firstLineChars="200"/>
        <w:jc w:val="left"/>
        <w:rPr>
          <w:rFonts w:ascii="宋体" w:hAnsi="宋体" w:cs="宋体"/>
          <w:sz w:val="24"/>
        </w:rPr>
      </w:pPr>
      <w:r>
        <w:rPr>
          <w:rStyle w:val="23"/>
          <w:rFonts w:hint="eastAsia" w:ascii="宋体" w:hAnsi="宋体" w:cs="宋体"/>
          <w:sz w:val="24"/>
        </w:rPr>
        <w:t>(5)本项目(不接受)联合体竞价。</w:t>
      </w:r>
    </w:p>
    <w:p w14:paraId="077B6EF1">
      <w:pPr>
        <w:spacing w:line="500" w:lineRule="exact"/>
        <w:ind w:firstLine="480" w:firstLineChars="200"/>
        <w:jc w:val="left"/>
        <w:rPr>
          <w:rFonts w:ascii="宋体" w:hAnsi="宋体" w:cs="宋体"/>
          <w:sz w:val="24"/>
        </w:rPr>
      </w:pPr>
      <w:r>
        <w:rPr>
          <w:rStyle w:val="23"/>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3"/>
          <w:rFonts w:hint="eastAsia" w:ascii="宋体" w:hAnsi="宋体" w:cs="宋体"/>
          <w:b/>
          <w:bCs/>
          <w:sz w:val="24"/>
        </w:rPr>
        <w:t>]。未按以上要求提交报名材料的竞价供应商，将导致其提出的质疑或竞价资格被拒绝。</w:t>
      </w:r>
    </w:p>
    <w:p w14:paraId="65002DC9">
      <w:pPr>
        <w:spacing w:line="500" w:lineRule="exact"/>
        <w:ind w:firstLine="480" w:firstLineChars="200"/>
        <w:jc w:val="left"/>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6B06D0DB">
      <w:pPr>
        <w:tabs>
          <w:tab w:val="left" w:pos="4144"/>
        </w:tabs>
        <w:spacing w:line="480" w:lineRule="exact"/>
        <w:ind w:firstLine="480" w:firstLineChars="200"/>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6A3D9071">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50DA7F79">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5FD9100B">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w:t>
      </w:r>
      <w:r>
        <w:rPr>
          <w:rStyle w:val="23"/>
          <w:rFonts w:hint="eastAsia" w:ascii="宋体" w:hAnsi="宋体" w:cs="宋体"/>
          <w:color w:val="000000" w:themeColor="text1"/>
          <w:kern w:val="0"/>
          <w:sz w:val="24"/>
          <w:lang w:eastAsia="zh-CN"/>
          <w14:textFill>
            <w14:solidFill>
              <w14:schemeClr w14:val="tx1"/>
            </w14:solidFill>
          </w14:textFill>
        </w:rPr>
        <w:t>总价</w:t>
      </w:r>
      <w:r>
        <w:rPr>
          <w:rStyle w:val="23"/>
          <w:rFonts w:hint="eastAsia" w:ascii="宋体" w:hAnsi="宋体" w:cs="宋体"/>
          <w:color w:val="000000" w:themeColor="text1"/>
          <w:kern w:val="0"/>
          <w:sz w:val="24"/>
          <w14:textFill>
            <w14:solidFill>
              <w14:schemeClr w14:val="tx1"/>
            </w14:solidFill>
          </w14:textFill>
        </w:rPr>
        <w:t>基础上下浮＞3%，否则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00DD09F8">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00F25AB1">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67E7AEA9">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4624B202">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1404F2BD">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136CB9BE">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0C08AF4D">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49FC645F">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2D70A3B8">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6D2E046B">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650C352D">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2AFC7FA8">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0C42A382">
      <w:pPr>
        <w:spacing w:line="500" w:lineRule="exact"/>
        <w:ind w:firstLine="480" w:firstLineChars="200"/>
        <w:jc w:val="left"/>
        <w:rPr>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2D4F83A5">
      <w:pPr>
        <w:spacing w:line="500" w:lineRule="exact"/>
        <w:ind w:firstLine="480" w:firstLineChars="200"/>
        <w:rPr>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6779B3B8">
      <w:pPr>
        <w:pStyle w:val="31"/>
        <w:spacing w:before="0" w:beforeAutospacing="0" w:after="0" w:afterAutospacing="0" w:line="500" w:lineRule="exact"/>
        <w:ind w:firstLine="480" w:firstLineChars="200"/>
        <w:rPr>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于[2026年</w:t>
      </w:r>
      <w:r>
        <w:rPr>
          <w:rFonts w:hint="eastAsia" w:cs="宋体"/>
          <w:color w:val="FF0000"/>
          <w:lang w:val="en-US" w:eastAsia="zh-CN"/>
        </w:rPr>
        <w:t>4</w:t>
      </w:r>
      <w:r>
        <w:rPr>
          <w:rFonts w:hint="eastAsia" w:cs="宋体"/>
          <w:color w:val="FF0000"/>
        </w:rPr>
        <w:t>月</w:t>
      </w:r>
      <w:r>
        <w:rPr>
          <w:rFonts w:hint="eastAsia" w:cs="宋体"/>
          <w:color w:val="FF0000"/>
          <w:lang w:val="en-US" w:eastAsia="zh-CN"/>
        </w:rPr>
        <w:t>28</w:t>
      </w:r>
      <w:r>
        <w:rPr>
          <w:rFonts w:hint="eastAsia" w:cs="宋体"/>
          <w:color w:val="FF0000"/>
        </w:rPr>
        <w:t>日至2026年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6</w:t>
      </w:r>
      <w:r>
        <w:rPr>
          <w:rFonts w:hint="eastAsia" w:cs="宋体"/>
          <w:color w:val="FF0000"/>
        </w:rPr>
        <w:t>日]</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w:t>
      </w:r>
      <w:bookmarkStart w:id="8" w:name="_GoBack"/>
      <w:bookmarkEnd w:id="8"/>
      <w:r>
        <w:rPr>
          <w:rStyle w:val="23"/>
          <w:rFonts w:hint="eastAsia" w:cs="宋体"/>
          <w:color w:val="000000" w:themeColor="text1"/>
          <w14:textFill>
            <w14:solidFill>
              <w14:schemeClr w14:val="tx1"/>
            </w14:solidFill>
          </w14:textFill>
        </w:rPr>
        <w:t>，将导致其竞价资格被拒绝。</w:t>
      </w:r>
    </w:p>
    <w:p w14:paraId="469C9659">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762D2251">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4B7C6FE4">
      <w:pPr>
        <w:spacing w:line="500" w:lineRule="exact"/>
        <w:ind w:firstLine="480" w:firstLineChars="200"/>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7BFD502B">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59A2958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0F4CCB65">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0A8D50E3">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1BFADA6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05EF96DE">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5316625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33446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3ABE8E71">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42DC225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236B554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18EA8A2">
      <w:pPr>
        <w:spacing w:line="500" w:lineRule="exact"/>
        <w:jc w:val="left"/>
        <w:textAlignment w:val="auto"/>
        <w:rPr>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344261D3">
      <w:pPr>
        <w:spacing w:line="500" w:lineRule="exact"/>
        <w:jc w:val="center"/>
        <w:outlineLvl w:val="1"/>
        <w:rPr>
          <w:rFonts w:ascii="宋体" w:hAnsi="宋体" w:cs="宋体"/>
          <w:b/>
          <w:color w:val="000000" w:themeColor="text1"/>
          <w:kern w:val="0"/>
          <w:sz w:val="30"/>
          <w:szCs w:val="30"/>
          <w14:textFill>
            <w14:solidFill>
              <w14:schemeClr w14:val="tx1"/>
            </w14:solidFill>
          </w14:textFill>
        </w:rPr>
      </w:pPr>
      <w:bookmarkStart w:id="2" w:name="_Toc97708364"/>
      <w:bookmarkStart w:id="3" w:name="_Toc10667"/>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26C6FE10">
      <w:pPr>
        <w:snapToGrid w:val="0"/>
        <w:spacing w:line="500" w:lineRule="exact"/>
        <w:ind w:firstLine="470" w:firstLineChars="196"/>
        <w:rPr>
          <w:rFonts w:ascii="宋体" w:hAnsi="宋体" w:cs="宋体"/>
          <w:b/>
          <w:bCs/>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一、项目概述</w:t>
      </w:r>
      <w:r>
        <w:rPr>
          <w:rFonts w:hint="eastAsia" w:ascii="宋体" w:hAnsi="宋体" w:cs="宋体"/>
          <w:b/>
          <w:bCs/>
          <w:color w:val="000000"/>
          <w:kern w:val="0"/>
          <w:sz w:val="24"/>
        </w:rPr>
        <w:t>：</w:t>
      </w:r>
    </w:p>
    <w:p w14:paraId="28FAD580">
      <w:pPr>
        <w:tabs>
          <w:tab w:val="left" w:pos="0"/>
        </w:tabs>
        <w:adjustRightInd w:val="0"/>
        <w:spacing w:line="500" w:lineRule="exact"/>
        <w:ind w:firstLine="480" w:firstLineChars="200"/>
        <w:rPr>
          <w:rFonts w:hint="eastAsia"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1、《新能源汽车底盘技术》金教材建设服务采购项目，是响应国家职业教育高质量发展要求、落实校级 “金专”“金课”“金教材”（以下简称 “三金项目”）建设部署的关键举措。该项目于 2025 年获批为校级 “三金项目”，其立项紧密围绕《福州职业技术学院三金项目考核评价管理办法（2025 年考核）》核心要求，旨在通过系统化的教材资源建设，填补新能源汽车底盘技术领域优质教材资源的缺口，提升专业教学质量与学生岗位实践能力。</w:t>
      </w:r>
    </w:p>
    <w:p w14:paraId="4452BB5D">
      <w:pPr>
        <w:tabs>
          <w:tab w:val="left" w:pos="0"/>
        </w:tabs>
        <w:adjustRightInd w:val="0"/>
        <w:spacing w:line="500" w:lineRule="exact"/>
        <w:ind w:firstLine="480" w:firstLineChars="200"/>
        <w:rPr>
          <w:rFonts w:hint="eastAsia"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本项目为《新能源汽车底盘技术》金教材的出版服务采购，目的在于为采购人（福州职业技术学院）提供符合教学需求的、高质量的教材。服务内容需涵盖从内容编写、内容编校、封面设计、排版、书号申请、平台上传制作、智能微课、虚拟仿真资源建设等在内的全流程出版服务。该教材需在采购人认可的出版社出版发行。</w:t>
      </w:r>
    </w:p>
    <w:p w14:paraId="04C4BF05">
      <w:pPr>
        <w:pStyle w:val="89"/>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78240665">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金额单位：人民币元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67"/>
        <w:gridCol w:w="1935"/>
        <w:gridCol w:w="827"/>
        <w:gridCol w:w="2188"/>
        <w:gridCol w:w="1790"/>
        <w:gridCol w:w="1293"/>
      </w:tblGrid>
      <w:tr w14:paraId="7F36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A46A6C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采购包</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1D5779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品目号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0843B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lang w:val="en-US" w:eastAsia="zh-CN"/>
              </w:rPr>
              <w:t>服务名称</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003996B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数量</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4F8775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4"/>
                <w:szCs w:val="24"/>
                <w:highlight w:val="none"/>
                <w:lang w:val="en-US"/>
              </w:rPr>
            </w:pPr>
            <w:r>
              <w:rPr>
                <w:rFonts w:hint="eastAsia" w:ascii="宋体" w:hAnsi="宋体" w:cs="宋体"/>
                <w:b/>
                <w:bCs/>
                <w:color w:val="auto"/>
                <w:kern w:val="0"/>
                <w:sz w:val="24"/>
                <w:szCs w:val="24"/>
                <w:highlight w:val="none"/>
                <w:lang w:val="en-US" w:eastAsia="zh-CN"/>
              </w:rPr>
              <w:t>交付时间</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AD78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267660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最高限价</w:t>
            </w:r>
          </w:p>
        </w:tc>
      </w:tr>
      <w:tr w14:paraId="6BC4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111F9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370552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60894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《新能源汽车底盘技术》金教材项目</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3424F91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360D4F4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0000FF"/>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自签订合同之日起一年内交付完成</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222163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eastAsia="zh-CN"/>
              </w:rPr>
              <w:t>详见“技术和服务要求”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1D75F95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50000.00</w:t>
            </w:r>
          </w:p>
        </w:tc>
      </w:tr>
      <w:tr w14:paraId="5F7B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595" w:type="dxa"/>
            <w:gridSpan w:val="7"/>
            <w:tcBorders>
              <w:top w:val="single" w:color="auto" w:sz="4" w:space="0"/>
              <w:left w:val="single" w:color="auto" w:sz="4" w:space="0"/>
              <w:bottom w:val="single" w:color="auto" w:sz="4" w:space="0"/>
              <w:right w:val="single" w:color="auto" w:sz="4" w:space="0"/>
            </w:tcBorders>
            <w:noWrap w:val="0"/>
            <w:vAlign w:val="center"/>
          </w:tcPr>
          <w:p w14:paraId="0959EBE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val="0"/>
                <w:bCs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注：报价应包含本次项目所涉及到的所有费用，包括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：编写、编校、设计、书号、制作、技术服务、专家咨询费、专家交通费及税费等。</w:t>
            </w:r>
          </w:p>
        </w:tc>
      </w:tr>
    </w:tbl>
    <w:p w14:paraId="15CADB75">
      <w:pPr>
        <w:tabs>
          <w:tab w:val="left" w:pos="0"/>
        </w:tabs>
        <w:adjustRightInd w:val="0"/>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lang w:val="en-US" w:eastAsia="zh-CN"/>
          <w14:textFill>
            <w14:solidFill>
              <w14:schemeClr w14:val="tx1"/>
            </w14:solidFill>
          </w14:textFill>
        </w:rPr>
        <w:t>3</w:t>
      </w:r>
      <w:r>
        <w:rPr>
          <w:rStyle w:val="23"/>
          <w:rFonts w:hint="eastAsia" w:ascii="宋体" w:hAnsi="宋体" w:cs="宋体"/>
          <w:color w:val="000000" w:themeColor="text1"/>
          <w:sz w:val="24"/>
          <w14:textFill>
            <w14:solidFill>
              <w14:schemeClr w14:val="tx1"/>
            </w14:solidFill>
          </w14:textFill>
        </w:rPr>
        <w:t>、报价要求：</w:t>
      </w:r>
    </w:p>
    <w:p w14:paraId="0A2379EA">
      <w:pPr>
        <w:tabs>
          <w:tab w:val="left" w:pos="0"/>
        </w:tabs>
        <w:adjustRightInd w:val="0"/>
        <w:spacing w:line="500" w:lineRule="exact"/>
        <w:ind w:firstLine="480" w:firstLineChars="200"/>
        <w:rPr>
          <w:rFonts w:ascii="宋体" w:hAnsi="宋体" w:cs="宋体"/>
          <w:b/>
          <w:color w:val="000000" w:themeColor="text1"/>
          <w:sz w:val="24"/>
          <w14:textFill>
            <w14:solidFill>
              <w14:schemeClr w14:val="tx1"/>
            </w14:solidFill>
          </w14:textFill>
        </w:rPr>
      </w:pPr>
      <w:r>
        <w:rPr>
          <w:rStyle w:val="23"/>
          <w:rFonts w:hint="eastAsia" w:ascii="宋体" w:hAnsi="宋体" w:cs="宋体"/>
          <w:color w:val="000000" w:themeColor="text1"/>
          <w:sz w:val="24"/>
          <w:lang w:val="en-US" w:eastAsia="zh-CN"/>
          <w14:textFill>
            <w14:solidFill>
              <w14:schemeClr w14:val="tx1"/>
            </w14:solidFill>
          </w14:textFill>
        </w:rPr>
        <w:t>3</w:t>
      </w:r>
      <w:r>
        <w:rPr>
          <w:rStyle w:val="23"/>
          <w:rFonts w:hint="eastAsia" w:ascii="宋体" w:hAnsi="宋体" w:cs="宋体"/>
          <w:color w:val="000000" w:themeColor="text1"/>
          <w:sz w:val="24"/>
          <w14:textFill>
            <w14:solidFill>
              <w14:schemeClr w14:val="tx1"/>
            </w14:solidFill>
          </w14:textFill>
        </w:rPr>
        <w:t>.1竞价供应商对</w:t>
      </w:r>
      <w:r>
        <w:rPr>
          <w:rFonts w:hint="eastAsia" w:ascii="宋体" w:hAnsi="宋体" w:eastAsia="宋体" w:cs="宋体"/>
          <w:bCs/>
          <w:sz w:val="24"/>
        </w:rPr>
        <w:t>每个品目的单价报价最多</w:t>
      </w:r>
      <w:r>
        <w:rPr>
          <w:rFonts w:hint="eastAsia" w:ascii="宋体" w:hAnsi="宋体" w:cs="宋体"/>
          <w:color w:val="000000"/>
          <w:sz w:val="24"/>
        </w:rPr>
        <w:t>保留小数点后2位数，否则按无效报价处理。</w:t>
      </w:r>
    </w:p>
    <w:p w14:paraId="19E84B1E">
      <w:pPr>
        <w:tabs>
          <w:tab w:val="left" w:pos="0"/>
        </w:tabs>
        <w:adjustRightInd w:val="0"/>
        <w:spacing w:line="500" w:lineRule="exact"/>
        <w:ind w:firstLine="480" w:firstLineChars="200"/>
        <w:rPr>
          <w:rFonts w:hint="eastAsia" w:ascii="宋体" w:hAnsi="宋体" w:cs="宋体"/>
          <w:b/>
          <w:color w:val="000000" w:themeColor="text1"/>
          <w:sz w:val="24"/>
          <w14:textFill>
            <w14:solidFill>
              <w14:schemeClr w14:val="tx1"/>
            </w14:solidFill>
          </w14:textFill>
        </w:rPr>
      </w:pPr>
      <w:r>
        <w:rPr>
          <w:rStyle w:val="23"/>
          <w:rFonts w:hint="eastAsia" w:ascii="宋体" w:hAnsi="宋体" w:cs="宋体"/>
          <w:color w:val="000000" w:themeColor="text1"/>
          <w:sz w:val="24"/>
          <w:lang w:val="en-US" w:eastAsia="zh-CN"/>
          <w14:textFill>
            <w14:solidFill>
              <w14:schemeClr w14:val="tx1"/>
            </w14:solidFill>
          </w14:textFill>
        </w:rPr>
        <w:t>3</w:t>
      </w:r>
      <w:r>
        <w:rPr>
          <w:rStyle w:val="23"/>
          <w:rFonts w:hint="eastAsia" w:ascii="宋体" w:hAnsi="宋体" w:cs="宋体"/>
          <w:color w:val="000000" w:themeColor="text1"/>
          <w:sz w:val="24"/>
          <w14:textFill>
            <w14:solidFill>
              <w14:schemeClr w14:val="tx1"/>
            </w14:solidFill>
          </w14:textFill>
        </w:rPr>
        <w:t>.2竞价供应商</w:t>
      </w:r>
      <w:r>
        <w:rPr>
          <w:rFonts w:hint="eastAsia" w:ascii="宋体" w:hAnsi="宋体" w:cs="宋体"/>
          <w:color w:val="000000"/>
          <w:sz w:val="24"/>
        </w:rPr>
        <w:t>超过</w:t>
      </w:r>
      <w:r>
        <w:rPr>
          <w:rFonts w:hint="eastAsia" w:ascii="宋体" w:hAnsi="宋体" w:cs="宋体"/>
          <w:b/>
          <w:bCs/>
          <w:color w:val="000000"/>
          <w:kern w:val="0"/>
          <w:sz w:val="24"/>
          <w:lang w:bidi="ar"/>
        </w:rPr>
        <w:t>最高限价</w:t>
      </w:r>
      <w:r>
        <w:rPr>
          <w:rFonts w:hint="eastAsia" w:ascii="宋体" w:hAnsi="宋体" w:cs="宋体"/>
          <w:sz w:val="24"/>
        </w:rPr>
        <w:t>或</w:t>
      </w:r>
      <w:r>
        <w:rPr>
          <w:rFonts w:hint="eastAsia" w:ascii="宋体" w:hAnsi="宋体" w:cs="宋体"/>
          <w:b/>
          <w:bCs/>
          <w:color w:val="000000"/>
          <w:kern w:val="0"/>
          <w:sz w:val="24"/>
          <w:lang w:bidi="ar"/>
        </w:rPr>
        <w:t>最高单价限价</w:t>
      </w:r>
      <w:r>
        <w:rPr>
          <w:rFonts w:hint="eastAsia" w:ascii="宋体" w:hAnsi="宋体" w:cs="宋体"/>
          <w:color w:val="000000"/>
          <w:sz w:val="24"/>
        </w:rPr>
        <w:t>的报价为无效报价。</w:t>
      </w:r>
    </w:p>
    <w:p w14:paraId="4082B1B1">
      <w:pPr>
        <w:tabs>
          <w:tab w:val="left" w:pos="0"/>
        </w:tabs>
        <w:adjustRightInd w:val="0"/>
        <w:spacing w:line="500" w:lineRule="exact"/>
        <w:ind w:firstLine="480" w:firstLineChars="200"/>
        <w:rPr>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二、技术服务要求：</w:t>
      </w:r>
    </w:p>
    <w:p w14:paraId="0DDABAF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供应商提供的出版服务及最终成果需满足以下技术要求：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1"/>
        <w:gridCol w:w="7938"/>
      </w:tblGrid>
      <w:tr w14:paraId="192D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3F330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项目</w:t>
            </w:r>
          </w:p>
        </w:tc>
        <w:tc>
          <w:tcPr>
            <w:tcW w:w="7938" w:type="dxa"/>
            <w:shd w:val="clear" w:color="auto" w:fill="auto"/>
            <w:vAlign w:val="center"/>
          </w:tcPr>
          <w:p w14:paraId="79AC5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具体要求</w:t>
            </w:r>
          </w:p>
        </w:tc>
      </w:tr>
      <w:tr w14:paraId="6CBE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1" w:type="dxa"/>
            <w:shd w:val="clear" w:color="auto" w:fill="auto"/>
            <w:vAlign w:val="center"/>
          </w:tcPr>
          <w:p w14:paraId="2FA34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核心服务内容</w:t>
            </w:r>
          </w:p>
        </w:tc>
        <w:tc>
          <w:tcPr>
            <w:tcW w:w="7938" w:type="dxa"/>
            <w:shd w:val="clear" w:color="auto" w:fill="auto"/>
            <w:noWrap/>
            <w:vAlign w:val="center"/>
          </w:tcPr>
          <w:p w14:paraId="7E66ED8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全流程出版服务：供应商须提供符合国家规范的</w:t>
            </w:r>
            <w:r>
              <w:rPr>
                <w:rFonts w:hint="eastAsia" w:ascii="宋体" w:hAnsi="宋体" w:cs="宋体"/>
                <w:kern w:val="0"/>
                <w:sz w:val="24"/>
                <w:szCs w:val="24"/>
                <w:lang w:val="en-US" w:eastAsia="zh-CN" w:bidi="ar-SA"/>
              </w:rPr>
              <w:t>数字教材出版</w:t>
            </w:r>
            <w:r>
              <w:rPr>
                <w:rFonts w:hint="eastAsia" w:ascii="宋体" w:hAnsi="宋体" w:eastAsia="宋体" w:cs="宋体"/>
                <w:kern w:val="0"/>
                <w:sz w:val="24"/>
                <w:szCs w:val="24"/>
                <w:lang w:val="en-US" w:eastAsia="zh-CN" w:bidi="ar-SA"/>
              </w:rPr>
              <w:t>服务，必须包含：三审三校（含全媒体资源审校）、数字内容制作与封装、平台上传，确保内容政治性、科学性、准确性无误。</w:t>
            </w:r>
          </w:p>
          <w:p w14:paraId="4FE8FF8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专家负责审定、修改图书稿件、对图书开发进行详细指导（包括知识点表达、图书设计、成果评价等方面）</w:t>
            </w:r>
          </w:p>
          <w:p w14:paraId="406386D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、平台部署与维护：供应商须将成品数字教材部署于已通过公安部信息系统安全等级保护第三级（或以上）测评的数字教材平台，并确保采购人在合同期内享有无障碍的完整使用权。</w:t>
            </w:r>
          </w:p>
          <w:p w14:paraId="3C6C010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4、全教材编写服务:由企业牵头组织学校和行业共同开发建设教材，实行“三主编”教材开发机制，企业负责承担教材体系架构、产业技术融入、真实案例开发等核心编写工作，教材案例总数不少于</w:t>
            </w:r>
            <w:r>
              <w:rPr>
                <w:rFonts w:hint="eastAsia" w:ascii="宋体" w:hAnsi="宋体" w:eastAsia="宋体" w:cs="宋体"/>
                <w:kern w:val="0"/>
                <w:sz w:val="24"/>
                <w:szCs w:val="24"/>
                <w:lang w:val="en-US" w:eastAsia="zh-CN" w:bidi="ar-SA"/>
              </w:rPr>
              <w:t>20个（其中企业真实案例占比≥60%），同步将行业新方法、新技术、新工艺、新方法、新标准、新装备引入教材内容，实现学校、企业、行业三方共编、共享、共用、共推。</w:t>
            </w:r>
          </w:p>
          <w:p w14:paraId="622148B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专家指导：需聘请至少2名汽车系课程专家对该课程内容进行培训指导，且至少2名专家为双师型教师。（竞价供应商须在投标文件中提供至少2名所聘请的专家的高级（一级）技师证书及相关双师型佐证文件，未提供或提供的材料不符上述要求视为无效</w:t>
            </w:r>
            <w:r>
              <w:rPr>
                <w:rFonts w:hint="eastAsia" w:ascii="宋体" w:hAnsi="宋体" w:cs="宋体"/>
                <w:kern w:val="0"/>
                <w:sz w:val="24"/>
                <w:szCs w:val="24"/>
                <w:lang w:val="en-US" w:eastAsia="zh-CN" w:bidi="ar-SA"/>
              </w:rPr>
              <w:t>响应</w:t>
            </w:r>
            <w:r>
              <w:rPr>
                <w:rFonts w:hint="eastAsia" w:ascii="宋体" w:hAnsi="宋体" w:eastAsia="宋体" w:cs="宋体"/>
                <w:kern w:val="0"/>
                <w:sz w:val="24"/>
                <w:szCs w:val="24"/>
                <w:lang w:val="en-US" w:eastAsia="zh-CN" w:bidi="ar-SA"/>
              </w:rPr>
              <w:t>。）</w:t>
            </w:r>
          </w:p>
          <w:p w14:paraId="09EB264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SA"/>
              </w:rPr>
              <w:t>6、“三主编”教材开</w:t>
            </w:r>
            <w:r>
              <w:rPr>
                <w:rFonts w:hint="eastAsia" w:ascii="宋体" w:hAnsi="宋体" w:eastAsia="宋体" w:cs="宋体"/>
                <w:sz w:val="24"/>
                <w:szCs w:val="24"/>
              </w:rPr>
              <w:t>发机制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建立企业技术专家、学校专业带头人、行业权威专家“三主编“教材开发机制。</w:t>
            </w:r>
            <w:r>
              <w:rPr>
                <w:rFonts w:hint="eastAsia" w:ascii="宋体" w:hAnsi="宋体" w:eastAsia="宋体" w:cs="宋体"/>
                <w:sz w:val="24"/>
                <w:szCs w:val="24"/>
              </w:rPr>
              <w:t>企业高级技术人员参与编写章节≥3章，提供技术资料≥5份</w:t>
            </w:r>
            <w:r>
              <w:rPr>
                <w:rFonts w:hint="eastAsia" w:ascii="宋体" w:hAnsi="宋体" w:eastAsia="宋体" w:cs="宋体"/>
                <w:sz w:val="24"/>
                <w:szCs w:val="24"/>
                <w:lang w:eastAsia="zh-CN"/>
              </w:rPr>
              <w:t>。</w:t>
            </w:r>
          </w:p>
          <w:p w14:paraId="7CC6F30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7、教材规范要求：符合国家数字教材标准体系（包括但不限于内容规范、技术格式规范、数据接口、质量评价与效果评估等标准），出版单位依据国家标准出版数字教材，确保数字教材跨平台兼容、</w:t>
            </w:r>
            <w:r>
              <w:rPr>
                <w:rFonts w:hint="eastAsia" w:ascii="宋体" w:hAnsi="宋体" w:cs="宋体"/>
                <w:sz w:val="24"/>
                <w:szCs w:val="24"/>
                <w:lang w:val="en-US" w:eastAsia="zh-CN"/>
              </w:rPr>
              <w:t>与</w:t>
            </w:r>
            <w:r>
              <w:rPr>
                <w:rFonts w:hint="eastAsia" w:ascii="宋体" w:hAnsi="宋体" w:eastAsia="宋体" w:cs="宋体"/>
                <w:sz w:val="24"/>
                <w:szCs w:val="24"/>
                <w:lang w:val="en-US" w:eastAsia="zh-CN"/>
              </w:rPr>
              <w:t>国家相关平台对接。</w:t>
            </w:r>
          </w:p>
          <w:p w14:paraId="77471B9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kern w:val="0"/>
                <w:sz w:val="24"/>
                <w:szCs w:val="24"/>
                <w:lang w:val="en-US" w:eastAsia="zh-CN" w:bidi="ar-SA"/>
              </w:rPr>
            </w:pPr>
            <w:r>
              <w:rPr>
                <w:rFonts w:hint="eastAsia" w:ascii="宋体" w:hAnsi="宋体" w:eastAsia="宋体" w:cs="宋体"/>
                <w:i w:val="0"/>
                <w:iCs w:val="0"/>
                <w:kern w:val="0"/>
                <w:sz w:val="24"/>
                <w:szCs w:val="24"/>
                <w:lang w:val="en-US" w:eastAsia="zh-CN" w:bidi="ar-SA"/>
              </w:rPr>
              <w:t>拟定教材内容参考目录：</w:t>
            </w:r>
          </w:p>
          <w:p w14:paraId="5A486B62">
            <w:pPr>
              <w:spacing w:line="36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模块一 新能源汽车底盘认知与高压防护</w:t>
            </w:r>
          </w:p>
          <w:p w14:paraId="460C2731">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1 新能源汽车底盘技术概述</w:t>
            </w:r>
          </w:p>
          <w:p w14:paraId="397C5E6C">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2 新能源汽车底盘高压防护</w:t>
            </w:r>
          </w:p>
          <w:p w14:paraId="674F5089">
            <w:pPr>
              <w:spacing w:line="36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模块二 新能源汽车传动系统构造与故障检修</w:t>
            </w:r>
          </w:p>
          <w:p w14:paraId="4B146276">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1 纯电动汽车传动系统</w:t>
            </w:r>
          </w:p>
          <w:p w14:paraId="1AC8F211">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2 混合动力汽车传动系统</w:t>
            </w:r>
          </w:p>
          <w:p w14:paraId="7E8446C2">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3 传动系统新技术</w:t>
            </w:r>
          </w:p>
          <w:p w14:paraId="30DE6DD1">
            <w:pPr>
              <w:spacing w:line="36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模块三 新能源汽车行驶系统构造与故障检修</w:t>
            </w:r>
          </w:p>
          <w:p w14:paraId="67B0DB60">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1 行驶系统基础部件</w:t>
            </w:r>
          </w:p>
          <w:p w14:paraId="662806BD">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2 悬架系统</w:t>
            </w:r>
          </w:p>
          <w:p w14:paraId="6D357438">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3 电控悬架与胎压监测系统</w:t>
            </w:r>
          </w:p>
          <w:p w14:paraId="2ED28244">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4 车轮定位</w:t>
            </w:r>
          </w:p>
          <w:p w14:paraId="572744C5">
            <w:pPr>
              <w:spacing w:line="36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模块四 新能源汽车转向系统构造与故障检修</w:t>
            </w:r>
          </w:p>
          <w:p w14:paraId="1C52F1E1">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1 转向系统基础认知</w:t>
            </w:r>
          </w:p>
          <w:p w14:paraId="591744BA">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2 电动助力转向系统（EPS）</w:t>
            </w:r>
          </w:p>
          <w:p w14:paraId="5A275392">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3 转向系统新技术</w:t>
            </w:r>
          </w:p>
          <w:p w14:paraId="70DFB98F">
            <w:pPr>
              <w:spacing w:line="36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模块五 新能源汽车制动系统构造与故障检修</w:t>
            </w:r>
          </w:p>
          <w:p w14:paraId="63B40A4D">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1 制动系统基础部件</w:t>
            </w:r>
          </w:p>
          <w:p w14:paraId="1F3A7A0F">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2 制动辅助系统</w:t>
            </w:r>
          </w:p>
          <w:p w14:paraId="7B76F556">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3 电子控制制动系统</w:t>
            </w:r>
          </w:p>
          <w:p w14:paraId="4D41C730">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4 制动能量回收系统</w:t>
            </w:r>
          </w:p>
          <w:p w14:paraId="27FD2F66">
            <w:pPr>
              <w:spacing w:line="36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模块六 新能源汽车底盘线控技术与高级辅助系统</w:t>
            </w:r>
          </w:p>
          <w:p w14:paraId="5539449C">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1 底盘线控技术认知</w:t>
            </w:r>
          </w:p>
          <w:p w14:paraId="288996B6">
            <w:pPr>
              <w:spacing w:line="360" w:lineRule="auto"/>
              <w:rPr>
                <w:rFonts w:hint="eastAsia" w:ascii="宋体" w:hAnsi="宋体" w:eastAsia="宋体" w:cs="宋体"/>
                <w:i w:val="0"/>
                <w:iCs w:val="0"/>
                <w:sz w:val="24"/>
                <w:szCs w:val="24"/>
              </w:rPr>
            </w:pPr>
            <w:r>
              <w:rPr>
                <w:rFonts w:hint="eastAsia" w:ascii="宋体" w:hAnsi="宋体" w:eastAsia="宋体" w:cs="宋体"/>
                <w:i w:val="0"/>
                <w:iCs w:val="0"/>
                <w:sz w:val="24"/>
                <w:szCs w:val="24"/>
              </w:rPr>
              <w:t>学习任务 2 典型线控系统检修</w:t>
            </w:r>
          </w:p>
          <w:p w14:paraId="52986352">
            <w:pPr>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i w:val="0"/>
                <w:iCs w:val="0"/>
                <w:sz w:val="24"/>
                <w:szCs w:val="24"/>
              </w:rPr>
              <w:t>学习任务 3 底盘相关高级驾驶辅助系统（ADAS）</w:t>
            </w:r>
          </w:p>
        </w:tc>
      </w:tr>
      <w:tr w14:paraId="59DB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1" w:type="dxa"/>
            <w:shd w:val="clear" w:color="auto" w:fill="auto"/>
            <w:vAlign w:val="center"/>
          </w:tcPr>
          <w:p w14:paraId="574F0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质量标准</w:t>
            </w:r>
          </w:p>
        </w:tc>
        <w:tc>
          <w:tcPr>
            <w:tcW w:w="7938" w:type="dxa"/>
            <w:shd w:val="clear" w:color="auto" w:fill="auto"/>
            <w:noWrap/>
            <w:vAlign w:val="center"/>
          </w:tcPr>
          <w:p w14:paraId="0757B0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1、编校质量：严格执行“三审三校”制度，确保内容政治导向正确、专业严谨，文字差错率低于万分之一。</w:t>
            </w:r>
          </w:p>
          <w:p w14:paraId="7C61F8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2、设计质量：封面、版式设计需经采购人书面确认。最终成品须与确认样稿一致。</w:t>
            </w:r>
          </w:p>
          <w:p w14:paraId="6344E9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3、平台运行质量：数字教材在指定平台运行稳定，各类资源加载正常，用户体验流畅。</w:t>
            </w:r>
          </w:p>
        </w:tc>
      </w:tr>
      <w:tr w14:paraId="2E98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681" w:type="dxa"/>
            <w:shd w:val="clear" w:color="auto" w:fill="auto"/>
            <w:vAlign w:val="center"/>
          </w:tcPr>
          <w:p w14:paraId="2B275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配套资源开发</w:t>
            </w:r>
          </w:p>
        </w:tc>
        <w:tc>
          <w:tcPr>
            <w:tcW w:w="7938" w:type="dxa"/>
            <w:shd w:val="clear" w:color="auto" w:fill="auto"/>
            <w:noWrap/>
            <w:vAlign w:val="center"/>
          </w:tcPr>
          <w:p w14:paraId="409EC7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sz w:val="24"/>
                <w:szCs w:val="24"/>
                <w:lang w:eastAsia="zh-CN"/>
              </w:rPr>
            </w:pP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、开发微课视频</w:t>
            </w:r>
            <w:r>
              <w:rPr>
                <w:rFonts w:hint="eastAsia" w:ascii="宋体" w:hAnsi="宋体" w:eastAsia="宋体" w:cs="宋体"/>
                <w:sz w:val="24"/>
                <w:szCs w:val="24"/>
              </w:rPr>
              <w:t>≥</w:t>
            </w:r>
            <w:r>
              <w:rPr>
                <w:rFonts w:hint="eastAsia" w:ascii="宋体" w:hAnsi="宋体" w:eastAsia="宋体" w:cs="宋体"/>
                <w:sz w:val="24"/>
                <w:szCs w:val="24"/>
                <w:lang w:val="en-US" w:eastAsia="zh-CN"/>
              </w:rPr>
              <w:t>10个</w:t>
            </w:r>
            <w:r>
              <w:rPr>
                <w:rFonts w:hint="eastAsia" w:ascii="宋体" w:hAnsi="宋体" w:eastAsia="宋体" w:cs="宋体"/>
                <w:sz w:val="24"/>
                <w:szCs w:val="24"/>
              </w:rPr>
              <w:t>（总时长≥120分钟）</w:t>
            </w:r>
            <w:r>
              <w:rPr>
                <w:rFonts w:hint="eastAsia" w:ascii="宋体" w:hAnsi="宋体" w:eastAsia="宋体" w:cs="宋体"/>
                <w:sz w:val="24"/>
                <w:szCs w:val="24"/>
                <w:lang w:eastAsia="zh-CN"/>
              </w:rPr>
              <w:t>。</w:t>
            </w:r>
          </w:p>
          <w:p w14:paraId="5AAE02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习题库≥100题</w:t>
            </w:r>
            <w:r>
              <w:rPr>
                <w:rFonts w:hint="eastAsia" w:ascii="宋体" w:hAnsi="宋体" w:eastAsia="宋体" w:cs="宋体"/>
                <w:sz w:val="24"/>
                <w:szCs w:val="24"/>
                <w:lang w:eastAsia="zh-CN"/>
              </w:rPr>
              <w:t>。</w:t>
            </w:r>
          </w:p>
          <w:p w14:paraId="05804C85">
            <w:pPr>
              <w:keepNext w:val="0"/>
              <w:keepLines w:val="0"/>
              <w:pageBreakBefore w:val="0"/>
              <w:widowControl/>
              <w:numPr>
                <w:ilvl w:val="0"/>
                <w:numId w:val="1"/>
              </w:numPr>
              <w:suppressLineNumbers w:val="0"/>
              <w:pBdr>
                <w:bottom w:val="none" w:color="auto" w:sz="0" w:space="0"/>
              </w:pBdr>
              <w:kinsoku/>
              <w:wordWrap/>
              <w:overflowPunct/>
              <w:topLinePunct w:val="0"/>
              <w:autoSpaceDE/>
              <w:autoSpaceDN/>
              <w:bidi w:val="0"/>
              <w:adjustRightInd/>
              <w:snapToGrid/>
              <w:spacing w:line="400" w:lineRule="exact"/>
              <w:jc w:val="left"/>
              <w:textAlignment w:val="bottom"/>
              <w:rPr>
                <w:rFonts w:hint="eastAsia" w:ascii="宋体" w:hAnsi="宋体" w:eastAsia="宋体" w:cs="宋体"/>
                <w:sz w:val="24"/>
                <w:szCs w:val="24"/>
                <w:lang w:eastAsia="zh-CN"/>
              </w:rPr>
            </w:pPr>
            <w:r>
              <w:rPr>
                <w:rFonts w:hint="eastAsia" w:ascii="宋体" w:hAnsi="宋体" w:eastAsia="宋体" w:cs="宋体"/>
                <w:sz w:val="24"/>
                <w:szCs w:val="24"/>
              </w:rPr>
              <w:t>虚拟仿真资源≥1个</w:t>
            </w:r>
            <w:r>
              <w:rPr>
                <w:rFonts w:hint="eastAsia" w:ascii="宋体" w:hAnsi="宋体" w:eastAsia="宋体" w:cs="宋体"/>
                <w:sz w:val="24"/>
                <w:szCs w:val="24"/>
                <w:lang w:eastAsia="zh-CN"/>
              </w:rPr>
              <w:t>。</w:t>
            </w:r>
          </w:p>
        </w:tc>
      </w:tr>
    </w:tbl>
    <w:p w14:paraId="22CE26FB">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0C47A92A">
      <w:pPr>
        <w:pStyle w:val="3"/>
        <w:spacing w:line="460" w:lineRule="exact"/>
        <w:rPr>
          <w:rFonts w:ascii="宋体" w:hAnsi="宋体" w:cs="宋体"/>
          <w:sz w:val="24"/>
          <w:szCs w:val="24"/>
        </w:rPr>
      </w:pPr>
      <w:r>
        <w:rPr>
          <w:rFonts w:hint="eastAsia" w:ascii="宋体" w:hAnsi="宋体" w:cs="宋体"/>
          <w:sz w:val="24"/>
        </w:rPr>
        <w:t>1、交付时间: 合同签订后一年内交货。</w:t>
      </w:r>
    </w:p>
    <w:p w14:paraId="07CBDD30">
      <w:pPr>
        <w:pStyle w:val="3"/>
        <w:spacing w:line="460" w:lineRule="exact"/>
        <w:rPr>
          <w:rFonts w:hint="eastAsia" w:ascii="宋体" w:hAnsi="宋体" w:eastAsia="宋体" w:cs="宋体"/>
          <w:sz w:val="24"/>
          <w:lang w:eastAsia="zh-CN"/>
        </w:rPr>
      </w:pPr>
      <w:r>
        <w:rPr>
          <w:rFonts w:hint="eastAsia" w:ascii="宋体" w:hAnsi="宋体" w:cs="宋体"/>
          <w:sz w:val="24"/>
        </w:rPr>
        <w:t>2、地点: 福州市闽侯大学城联榕路8号</w:t>
      </w:r>
      <w:r>
        <w:rPr>
          <w:rFonts w:hint="eastAsia" w:ascii="宋体" w:hAnsi="宋体" w:cs="宋体"/>
          <w:sz w:val="24"/>
          <w:lang w:eastAsia="zh-CN"/>
        </w:rPr>
        <w:t>。</w:t>
      </w:r>
    </w:p>
    <w:p w14:paraId="7F955437">
      <w:pPr>
        <w:pStyle w:val="3"/>
        <w:spacing w:line="460" w:lineRule="exact"/>
        <w:rPr>
          <w:rFonts w:hint="eastAsia" w:ascii="宋体" w:hAnsi="宋体" w:cs="宋体"/>
          <w:sz w:val="24"/>
        </w:rPr>
      </w:pPr>
      <w:r>
        <w:rPr>
          <w:rFonts w:hint="eastAsia" w:ascii="宋体" w:hAnsi="宋体" w:cs="宋体"/>
          <w:sz w:val="24"/>
        </w:rPr>
        <w:t>3、</w:t>
      </w:r>
      <w:bookmarkStart w:id="4" w:name="_Toc97708365"/>
      <w:bookmarkStart w:id="5" w:name="_Toc12695"/>
      <w:r>
        <w:rPr>
          <w:rFonts w:hint="eastAsia" w:ascii="宋体" w:hAnsi="宋体" w:cs="宋体"/>
          <w:sz w:val="24"/>
        </w:rPr>
        <w:t>付款条件: 全部课程资源交货经安装调试，并经验收合格后，5个工作日内采购人凭收讫服务的验收凭证和服务验收合格文件等材料以转账方式向</w:t>
      </w:r>
      <w:r>
        <w:rPr>
          <w:rFonts w:hint="eastAsia" w:ascii="宋体" w:hAnsi="宋体" w:cs="宋体"/>
          <w:sz w:val="24"/>
          <w:lang w:eastAsia="zh-CN"/>
        </w:rPr>
        <w:t>成交人</w:t>
      </w:r>
      <w:r>
        <w:rPr>
          <w:rFonts w:hint="eastAsia" w:ascii="宋体" w:hAnsi="宋体" w:cs="宋体"/>
          <w:sz w:val="24"/>
        </w:rPr>
        <w:t>一次性支付 100% 的服务价款。</w:t>
      </w:r>
    </w:p>
    <w:p w14:paraId="6F7409B6">
      <w:pPr>
        <w:pStyle w:val="3"/>
        <w:spacing w:line="460" w:lineRule="exac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w:t>
      </w:r>
      <w:r>
        <w:rPr>
          <w:rFonts w:hint="eastAsia" w:ascii="宋体" w:hAnsi="宋体" w:cs="宋体"/>
          <w:sz w:val="24"/>
        </w:rPr>
        <w:t>质量要求、技术服务</w:t>
      </w:r>
    </w:p>
    <w:p w14:paraId="019140BA">
      <w:pPr>
        <w:pStyle w:val="3"/>
        <w:spacing w:line="460" w:lineRule="exact"/>
        <w:rPr>
          <w:rFonts w:hint="eastAsia" w:ascii="宋体" w:hAnsi="宋体" w:cs="宋体"/>
          <w:sz w:val="24"/>
        </w:rPr>
      </w:pPr>
      <w:r>
        <w:rPr>
          <w:rFonts w:hint="eastAsia" w:ascii="宋体" w:hAnsi="宋体" w:cs="宋体"/>
          <w:sz w:val="24"/>
        </w:rPr>
        <w:t>4.1</w:t>
      </w:r>
      <w:r>
        <w:rPr>
          <w:rFonts w:hint="eastAsia" w:ascii="宋体" w:hAnsi="宋体" w:cs="宋体"/>
          <w:sz w:val="24"/>
          <w:lang w:eastAsia="zh-CN"/>
        </w:rPr>
        <w:t>成交人</w:t>
      </w:r>
      <w:r>
        <w:rPr>
          <w:rFonts w:hint="eastAsia" w:ascii="宋体" w:hAnsi="宋体" w:cs="宋体"/>
          <w:sz w:val="24"/>
        </w:rPr>
        <w:t>所提供的服务必须是针对采购人需求订制型产品，符合采购人招标文件中所述技术标准，符合国家的有关标准。标准：本合同所指的服务应符合合同的技术规格所述的标准，如果没有提及适用标准，则应符合中华人民共和国国家标准或行业标准；如果中华人民共和国没有相关标准的，则采用服务来源国适用的官方标准。这些标准必须是有关机构发布的最新版本的标准。</w:t>
      </w:r>
    </w:p>
    <w:p w14:paraId="04426F5D">
      <w:pPr>
        <w:pStyle w:val="3"/>
        <w:spacing w:line="460" w:lineRule="exact"/>
        <w:rPr>
          <w:rFonts w:hint="eastAsia" w:ascii="宋体" w:hAnsi="宋体" w:cs="宋体"/>
          <w:sz w:val="24"/>
        </w:rPr>
      </w:pPr>
      <w:r>
        <w:rPr>
          <w:rFonts w:hint="eastAsia" w:ascii="宋体" w:hAnsi="宋体" w:cs="宋体"/>
          <w:sz w:val="24"/>
        </w:rPr>
        <w:t>4.2</w:t>
      </w:r>
      <w:r>
        <w:rPr>
          <w:rFonts w:hint="eastAsia" w:ascii="宋体" w:hAnsi="宋体" w:cs="宋体"/>
          <w:sz w:val="24"/>
          <w:lang w:eastAsia="zh-CN"/>
        </w:rPr>
        <w:t>成交人</w:t>
      </w:r>
      <w:r>
        <w:rPr>
          <w:rFonts w:hint="eastAsia" w:ascii="宋体" w:hAnsi="宋体" w:cs="宋体"/>
          <w:sz w:val="24"/>
        </w:rPr>
        <w:t>所提供的服务须按采购人所提出的素材文件保存与交付标准进行素材文件封装。封装文件内各类素材文件的文件夹结构清晰、标志编号清晰，标签内容完整（包括资源名称、版本号、文件格式等）。</w:t>
      </w:r>
    </w:p>
    <w:p w14:paraId="48225AA2">
      <w:pPr>
        <w:pStyle w:val="3"/>
        <w:spacing w:line="460" w:lineRule="exact"/>
        <w:rPr>
          <w:rFonts w:hint="eastAsia" w:ascii="宋体" w:hAnsi="宋体" w:cs="宋体"/>
          <w:sz w:val="24"/>
        </w:rPr>
      </w:pPr>
      <w:r>
        <w:rPr>
          <w:rFonts w:hint="eastAsia" w:ascii="宋体" w:hAnsi="宋体" w:cs="宋体"/>
          <w:sz w:val="24"/>
        </w:rPr>
        <w:t>4.3</w:t>
      </w:r>
      <w:r>
        <w:rPr>
          <w:rFonts w:hint="eastAsia" w:ascii="宋体" w:hAnsi="宋体" w:cs="宋体"/>
          <w:sz w:val="24"/>
          <w:lang w:eastAsia="zh-CN"/>
        </w:rPr>
        <w:t>成交人</w:t>
      </w:r>
      <w:r>
        <w:rPr>
          <w:rFonts w:hint="eastAsia" w:ascii="宋体" w:hAnsi="宋体" w:cs="宋体"/>
          <w:sz w:val="24"/>
        </w:rPr>
        <w:t>所提供的服务均由</w:t>
      </w:r>
      <w:r>
        <w:rPr>
          <w:rFonts w:hint="eastAsia" w:ascii="宋体" w:hAnsi="宋体" w:cs="宋体"/>
          <w:sz w:val="24"/>
          <w:lang w:eastAsia="zh-CN"/>
        </w:rPr>
        <w:t>成交人</w:t>
      </w:r>
      <w:r>
        <w:rPr>
          <w:rFonts w:hint="eastAsia" w:ascii="宋体" w:hAnsi="宋体" w:cs="宋体"/>
          <w:sz w:val="24"/>
        </w:rPr>
        <w:t>免费送货至采购人指定的交货地点、网络存储空间、网络教学平台。运输过程中造成的素材文件损坏、丢失或其它质量问题，其责任和损失由</w:t>
      </w:r>
      <w:r>
        <w:rPr>
          <w:rFonts w:hint="eastAsia" w:ascii="宋体" w:hAnsi="宋体" w:cs="宋体"/>
          <w:sz w:val="24"/>
          <w:lang w:eastAsia="zh-CN"/>
        </w:rPr>
        <w:t>成交人</w:t>
      </w:r>
      <w:r>
        <w:rPr>
          <w:rFonts w:hint="eastAsia" w:ascii="宋体" w:hAnsi="宋体" w:cs="宋体"/>
          <w:sz w:val="24"/>
        </w:rPr>
        <w:t>负担。</w:t>
      </w:r>
    </w:p>
    <w:p w14:paraId="1B457215">
      <w:pPr>
        <w:pStyle w:val="3"/>
        <w:spacing w:line="460" w:lineRule="exact"/>
        <w:rPr>
          <w:rFonts w:hint="eastAsia" w:ascii="宋体" w:hAnsi="宋体" w:cs="宋体"/>
          <w:sz w:val="24"/>
        </w:rPr>
      </w:pPr>
      <w:r>
        <w:rPr>
          <w:rFonts w:hint="eastAsia" w:ascii="宋体" w:hAnsi="宋体" w:cs="宋体"/>
          <w:sz w:val="24"/>
        </w:rPr>
        <w:t>4.4本合同价为固定价，不受时间、人力成本、服务升降等因素的影响，</w:t>
      </w:r>
      <w:r>
        <w:rPr>
          <w:rFonts w:hint="eastAsia" w:ascii="宋体" w:hAnsi="宋体" w:cs="宋体"/>
          <w:sz w:val="24"/>
          <w:lang w:eastAsia="zh-CN"/>
        </w:rPr>
        <w:t>成交人</w:t>
      </w:r>
      <w:r>
        <w:rPr>
          <w:rFonts w:hint="eastAsia" w:ascii="宋体" w:hAnsi="宋体" w:cs="宋体"/>
          <w:sz w:val="24"/>
        </w:rPr>
        <w:t>需按所报清单上所列素材资源清单进行订制，不准以其它同类型代替。</w:t>
      </w:r>
    </w:p>
    <w:p w14:paraId="352D7FBC">
      <w:pPr>
        <w:pStyle w:val="3"/>
        <w:spacing w:line="46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w:t>
      </w:r>
      <w:r>
        <w:rPr>
          <w:rFonts w:hint="eastAsia" w:ascii="宋体" w:hAnsi="宋体" w:cs="宋体"/>
          <w:sz w:val="24"/>
        </w:rPr>
        <w:t>装运单证</w:t>
      </w:r>
      <w:r>
        <w:rPr>
          <w:rFonts w:hint="eastAsia" w:ascii="宋体" w:hAnsi="宋体" w:cs="宋体"/>
          <w:sz w:val="24"/>
          <w:lang w:eastAsia="zh-CN"/>
        </w:rPr>
        <w:t>：</w:t>
      </w:r>
      <w:r>
        <w:rPr>
          <w:rFonts w:hint="eastAsia" w:ascii="宋体" w:hAnsi="宋体" w:cs="宋体"/>
          <w:sz w:val="24"/>
        </w:rPr>
        <w:t>以下单证原件在到货同时交给采购人：</w:t>
      </w:r>
      <w:r>
        <w:rPr>
          <w:rFonts w:hint="eastAsia" w:ascii="宋体" w:hAnsi="宋体" w:cs="宋体"/>
          <w:sz w:val="24"/>
          <w:lang w:eastAsia="zh-CN"/>
        </w:rPr>
        <w:t>成交人</w:t>
      </w:r>
      <w:r>
        <w:rPr>
          <w:rFonts w:hint="eastAsia" w:ascii="宋体" w:hAnsi="宋体" w:cs="宋体"/>
          <w:sz w:val="24"/>
        </w:rPr>
        <w:t>提供课程素材清单一式三份，注明合同号、存储位置、资源名称、类型、课程素材属性（视频资源时间长度、分辨率、图片分辨率等）。</w:t>
      </w:r>
    </w:p>
    <w:p w14:paraId="39A6D614">
      <w:pPr>
        <w:pStyle w:val="3"/>
        <w:spacing w:line="460" w:lineRule="exact"/>
        <w:rPr>
          <w:rFonts w:hint="eastAsia" w:ascii="宋体" w:hAnsi="宋体" w:cs="宋体"/>
          <w:sz w:val="24"/>
        </w:rPr>
      </w:pPr>
      <w:r>
        <w:rPr>
          <w:rFonts w:hint="eastAsia" w:ascii="宋体" w:hAnsi="宋体" w:cs="宋体"/>
          <w:sz w:val="24"/>
        </w:rPr>
        <w:t>6、验收标准和方法</w:t>
      </w:r>
    </w:p>
    <w:p w14:paraId="3AA1DCD2">
      <w:pPr>
        <w:pStyle w:val="3"/>
        <w:spacing w:line="460" w:lineRule="exact"/>
        <w:rPr>
          <w:rFonts w:hint="eastAsia" w:ascii="宋体" w:hAnsi="宋体" w:cs="宋体"/>
          <w:sz w:val="24"/>
        </w:rPr>
      </w:pPr>
      <w:r>
        <w:rPr>
          <w:rFonts w:hint="eastAsia" w:ascii="宋体" w:hAnsi="宋体" w:cs="宋体"/>
          <w:sz w:val="24"/>
        </w:rPr>
        <w:t>6.1. 试运行：</w:t>
      </w:r>
      <w:r>
        <w:rPr>
          <w:rFonts w:hint="eastAsia" w:ascii="宋体" w:hAnsi="宋体" w:cs="宋体"/>
          <w:sz w:val="24"/>
          <w:lang w:eastAsia="zh-CN"/>
        </w:rPr>
        <w:t>成交人</w:t>
      </w:r>
      <w:r>
        <w:rPr>
          <w:rFonts w:hint="eastAsia" w:ascii="宋体" w:hAnsi="宋体" w:cs="宋体"/>
          <w:sz w:val="24"/>
        </w:rPr>
        <w:t>应对课程素材的整体性能和功能进行自检，自检结果必须符合招标文件要求及合同中的相关条款，自检合格后，转入为期3天的试运行。试运行结束后，</w:t>
      </w:r>
      <w:r>
        <w:rPr>
          <w:rFonts w:hint="eastAsia" w:ascii="宋体" w:hAnsi="宋体" w:cs="宋体"/>
          <w:sz w:val="24"/>
          <w:lang w:eastAsia="zh-CN"/>
        </w:rPr>
        <w:t>成交人</w:t>
      </w:r>
      <w:r>
        <w:rPr>
          <w:rFonts w:hint="eastAsia" w:ascii="宋体" w:hAnsi="宋体" w:cs="宋体"/>
          <w:sz w:val="24"/>
        </w:rPr>
        <w:t>应向采购人提交自检记录和试运行记录，并提出验收申请。</w:t>
      </w:r>
    </w:p>
    <w:p w14:paraId="04F8BA5E">
      <w:pPr>
        <w:pStyle w:val="3"/>
        <w:spacing w:line="460" w:lineRule="exact"/>
        <w:rPr>
          <w:rFonts w:hint="eastAsia" w:ascii="宋体" w:hAnsi="宋体" w:cs="宋体"/>
          <w:sz w:val="24"/>
        </w:rPr>
      </w:pPr>
      <w:r>
        <w:rPr>
          <w:rFonts w:hint="eastAsia" w:ascii="宋体" w:hAnsi="宋体" w:cs="宋体"/>
          <w:sz w:val="24"/>
        </w:rPr>
        <w:t>6.2.最终验收</w:t>
      </w:r>
    </w:p>
    <w:p w14:paraId="3385C543">
      <w:pPr>
        <w:pStyle w:val="3"/>
        <w:spacing w:line="460" w:lineRule="exact"/>
        <w:rPr>
          <w:rFonts w:hint="eastAsia" w:ascii="宋体" w:hAnsi="宋体" w:cs="宋体"/>
          <w:sz w:val="24"/>
        </w:rPr>
      </w:pPr>
      <w:r>
        <w:rPr>
          <w:rFonts w:hint="eastAsia" w:ascii="宋体" w:hAnsi="宋体" w:cs="宋体"/>
          <w:sz w:val="24"/>
        </w:rPr>
        <w:t>采购人在收到</w:t>
      </w:r>
      <w:r>
        <w:rPr>
          <w:rFonts w:hint="eastAsia" w:ascii="宋体" w:hAnsi="宋体" w:cs="宋体"/>
          <w:sz w:val="24"/>
          <w:lang w:eastAsia="zh-CN"/>
        </w:rPr>
        <w:t>成交人</w:t>
      </w:r>
      <w:r>
        <w:rPr>
          <w:rFonts w:hint="eastAsia" w:ascii="宋体" w:hAnsi="宋体" w:cs="宋体"/>
          <w:sz w:val="24"/>
        </w:rPr>
        <w:t>的验收申请后 5 个工作日内，采购人和</w:t>
      </w:r>
      <w:r>
        <w:rPr>
          <w:rFonts w:hint="eastAsia" w:ascii="宋体" w:hAnsi="宋体" w:cs="宋体"/>
          <w:sz w:val="24"/>
          <w:lang w:eastAsia="zh-CN"/>
        </w:rPr>
        <w:t>成交人</w:t>
      </w:r>
      <w:r>
        <w:rPr>
          <w:rFonts w:hint="eastAsia" w:ascii="宋体" w:hAnsi="宋体" w:cs="宋体"/>
          <w:sz w:val="24"/>
        </w:rPr>
        <w:t>共同进行课程资源的验收。采购人将按照政府采购合同规定的技术、服务、安全标准组织对</w:t>
      </w:r>
      <w:r>
        <w:rPr>
          <w:rFonts w:hint="eastAsia" w:ascii="宋体" w:hAnsi="宋体" w:cs="宋体"/>
          <w:sz w:val="24"/>
          <w:lang w:eastAsia="zh-CN"/>
        </w:rPr>
        <w:t>成交人</w:t>
      </w:r>
      <w:r>
        <w:rPr>
          <w:rFonts w:hint="eastAsia" w:ascii="宋体" w:hAnsi="宋体" w:cs="宋体"/>
          <w:sz w:val="24"/>
        </w:rPr>
        <w:t>履约情况进行验收，并出具验收书。验收书应当包括每一项技术、服务、安全标准的履约情况。验收结果经双方确认后，双方代表必须按规定的验收交接单上的项目对照本合同填好验收结果并签名盖章。验收过程中，若发现课程素材质量有问题</w:t>
      </w:r>
      <w:r>
        <w:rPr>
          <w:rFonts w:hint="eastAsia" w:ascii="宋体" w:hAnsi="宋体" w:cs="宋体"/>
          <w:sz w:val="24"/>
          <w:lang w:eastAsia="zh-CN"/>
        </w:rPr>
        <w:t>成交人</w:t>
      </w:r>
      <w:r>
        <w:rPr>
          <w:rFonts w:hint="eastAsia" w:ascii="宋体" w:hAnsi="宋体" w:cs="宋体"/>
          <w:sz w:val="24"/>
        </w:rPr>
        <w:t>应无条件于 7 天内免费更换，重新检测并调试清楚后重新提交验收申请。在此期间，</w:t>
      </w:r>
      <w:r>
        <w:rPr>
          <w:rFonts w:hint="eastAsia" w:ascii="宋体" w:hAnsi="宋体" w:cs="宋体"/>
          <w:sz w:val="24"/>
          <w:lang w:eastAsia="zh-CN"/>
        </w:rPr>
        <w:t>成交人</w:t>
      </w:r>
      <w:r>
        <w:rPr>
          <w:rFonts w:hint="eastAsia" w:ascii="宋体" w:hAnsi="宋体" w:cs="宋体"/>
          <w:sz w:val="24"/>
        </w:rPr>
        <w:t>在采购人现场进行课程素材修改、安装、调试、集成、试运行直至验收所发生的一切费用由</w:t>
      </w:r>
      <w:r>
        <w:rPr>
          <w:rFonts w:hint="eastAsia" w:ascii="宋体" w:hAnsi="宋体" w:cs="宋体"/>
          <w:sz w:val="24"/>
          <w:lang w:eastAsia="zh-CN"/>
        </w:rPr>
        <w:t>成交人</w:t>
      </w:r>
      <w:r>
        <w:rPr>
          <w:rFonts w:hint="eastAsia" w:ascii="宋体" w:hAnsi="宋体" w:cs="宋体"/>
          <w:sz w:val="24"/>
        </w:rPr>
        <w:t>承担且已含在投标总价中。</w:t>
      </w:r>
    </w:p>
    <w:p w14:paraId="680BAAA5">
      <w:pPr>
        <w:pStyle w:val="3"/>
        <w:spacing w:line="460" w:lineRule="exact"/>
        <w:rPr>
          <w:rFonts w:hint="eastAsia" w:ascii="宋体" w:hAnsi="宋体" w:cs="宋体"/>
          <w:sz w:val="24"/>
        </w:rPr>
      </w:pPr>
      <w:r>
        <w:rPr>
          <w:rFonts w:hint="eastAsia" w:ascii="宋体" w:hAnsi="宋体" w:cs="宋体"/>
          <w:sz w:val="24"/>
        </w:rPr>
        <w:t>7</w:t>
      </w:r>
      <w:r>
        <w:rPr>
          <w:rFonts w:hint="eastAsia" w:ascii="宋体" w:hAnsi="宋体" w:cs="宋体"/>
          <w:sz w:val="24"/>
          <w:lang w:eastAsia="zh-CN"/>
        </w:rPr>
        <w:t>、</w:t>
      </w:r>
      <w:r>
        <w:rPr>
          <w:rFonts w:hint="eastAsia" w:ascii="宋体" w:hAnsi="宋体" w:cs="宋体"/>
          <w:sz w:val="24"/>
        </w:rPr>
        <w:t>售后服务保证</w:t>
      </w:r>
    </w:p>
    <w:p w14:paraId="1A1E3C7C">
      <w:pPr>
        <w:pStyle w:val="3"/>
        <w:spacing w:line="460" w:lineRule="exact"/>
        <w:rPr>
          <w:rFonts w:hint="eastAsia" w:ascii="宋体" w:hAnsi="宋体" w:cs="宋体"/>
          <w:sz w:val="24"/>
        </w:rPr>
      </w:pPr>
      <w:r>
        <w:rPr>
          <w:rFonts w:hint="eastAsia" w:ascii="宋体" w:hAnsi="宋体" w:cs="宋体"/>
          <w:sz w:val="24"/>
          <w:lang w:eastAsia="zh-CN"/>
        </w:rPr>
        <w:t>本</w:t>
      </w:r>
      <w:r>
        <w:rPr>
          <w:rFonts w:hint="eastAsia" w:ascii="宋体" w:hAnsi="宋体" w:cs="宋体"/>
          <w:sz w:val="24"/>
        </w:rPr>
        <w:t>合同包服务质保期要求为经最终验收合格后  1 年，在质量保证期内资源运行发生故障时，</w:t>
      </w:r>
      <w:r>
        <w:rPr>
          <w:rFonts w:hint="eastAsia" w:ascii="宋体" w:hAnsi="宋体" w:cs="宋体"/>
          <w:sz w:val="24"/>
          <w:lang w:eastAsia="zh-CN"/>
        </w:rPr>
        <w:t>成交人</w:t>
      </w:r>
      <w:r>
        <w:rPr>
          <w:rFonts w:hint="eastAsia" w:ascii="宋体" w:hAnsi="宋体" w:cs="宋体"/>
          <w:sz w:val="24"/>
        </w:rPr>
        <w:t>在接到采购人故障通知后 4 小时内应委派专业技术人员线上联络免费提供咨询、维修和调试等服务，并及时填写维修报告（包括故障原因、处理情况及采购人意见等）报采购人备案，若 6 小时内无法排除故障，则应先提供同档次备用产品供采购人使用，其中发生一切费用由</w:t>
      </w:r>
      <w:r>
        <w:rPr>
          <w:rFonts w:hint="eastAsia" w:ascii="宋体" w:hAnsi="宋体" w:cs="宋体"/>
          <w:sz w:val="24"/>
          <w:lang w:eastAsia="zh-CN"/>
        </w:rPr>
        <w:t>成交人</w:t>
      </w:r>
      <w:r>
        <w:rPr>
          <w:rFonts w:hint="eastAsia" w:ascii="宋体" w:hAnsi="宋体" w:cs="宋体"/>
          <w:sz w:val="24"/>
        </w:rPr>
        <w:t>承担。质量保证期内</w:t>
      </w:r>
      <w:r>
        <w:rPr>
          <w:rFonts w:hint="eastAsia" w:ascii="宋体" w:hAnsi="宋体" w:cs="宋体"/>
          <w:sz w:val="24"/>
          <w:lang w:eastAsia="zh-CN"/>
        </w:rPr>
        <w:t>成交人</w:t>
      </w:r>
      <w:r>
        <w:rPr>
          <w:rFonts w:hint="eastAsia" w:ascii="宋体" w:hAnsi="宋体" w:cs="宋体"/>
          <w:sz w:val="24"/>
        </w:rPr>
        <w:t>有责任对与系统进行不定期的巡查检修，免费保修期结束前一个月内</w:t>
      </w:r>
      <w:r>
        <w:rPr>
          <w:rFonts w:hint="eastAsia" w:ascii="宋体" w:hAnsi="宋体" w:cs="宋体"/>
          <w:sz w:val="24"/>
          <w:lang w:eastAsia="zh-CN"/>
        </w:rPr>
        <w:t>成交人</w:t>
      </w:r>
      <w:r>
        <w:rPr>
          <w:rFonts w:hint="eastAsia" w:ascii="宋体" w:hAnsi="宋体" w:cs="宋体"/>
          <w:sz w:val="24"/>
        </w:rPr>
        <w:t>应负责对课程素材进行一次免费全面检查，如发现潜在问题，应负责排除，保证课程素材的正常运行。</w:t>
      </w:r>
    </w:p>
    <w:p w14:paraId="6D5D12CE">
      <w:pPr>
        <w:pStyle w:val="3"/>
        <w:spacing w:line="460" w:lineRule="exact"/>
        <w:rPr>
          <w:rFonts w:hint="eastAsia" w:ascii="宋体" w:hAnsi="宋体" w:cs="宋体"/>
          <w:sz w:val="24"/>
        </w:rPr>
      </w:pPr>
      <w:r>
        <w:rPr>
          <w:rFonts w:hint="eastAsia" w:ascii="宋体" w:hAnsi="宋体" w:cs="宋体"/>
          <w:sz w:val="24"/>
        </w:rPr>
        <w:t>8</w:t>
      </w:r>
      <w:r>
        <w:rPr>
          <w:rFonts w:hint="eastAsia" w:ascii="宋体" w:hAnsi="宋体" w:cs="宋体"/>
          <w:sz w:val="24"/>
          <w:lang w:eastAsia="zh-CN"/>
        </w:rPr>
        <w:t>、</w:t>
      </w:r>
      <w:r>
        <w:rPr>
          <w:rFonts w:hint="eastAsia" w:ascii="宋体" w:hAnsi="宋体" w:cs="宋体"/>
          <w:sz w:val="24"/>
        </w:rPr>
        <w:t>知识产权</w:t>
      </w:r>
    </w:p>
    <w:p w14:paraId="4A4988D8">
      <w:pPr>
        <w:pStyle w:val="3"/>
        <w:spacing w:line="460" w:lineRule="exact"/>
        <w:rPr>
          <w:rFonts w:hint="eastAsia" w:ascii="宋体" w:hAnsi="宋体" w:cs="宋体"/>
          <w:sz w:val="24"/>
        </w:rPr>
      </w:pPr>
      <w:r>
        <w:rPr>
          <w:rFonts w:hint="eastAsia" w:ascii="宋体" w:hAnsi="宋体" w:cs="宋体"/>
          <w:sz w:val="24"/>
        </w:rPr>
        <w:t>8.1</w:t>
      </w:r>
      <w:r>
        <w:rPr>
          <w:rFonts w:hint="eastAsia" w:ascii="宋体" w:hAnsi="宋体" w:cs="宋体"/>
          <w:sz w:val="24"/>
          <w:lang w:eastAsia="zh-CN"/>
        </w:rPr>
        <w:t>成交人</w:t>
      </w:r>
      <w:r>
        <w:rPr>
          <w:rFonts w:hint="eastAsia" w:ascii="宋体" w:hAnsi="宋体" w:cs="宋体"/>
          <w:sz w:val="24"/>
        </w:rPr>
        <w:t>应保证，采购人在享受</w:t>
      </w:r>
      <w:r>
        <w:rPr>
          <w:rFonts w:hint="eastAsia" w:ascii="宋体" w:hAnsi="宋体" w:cs="宋体"/>
          <w:sz w:val="24"/>
          <w:lang w:eastAsia="zh-CN"/>
        </w:rPr>
        <w:t>成交人</w:t>
      </w:r>
      <w:r>
        <w:rPr>
          <w:rFonts w:hint="eastAsia" w:ascii="宋体" w:hAnsi="宋体" w:cs="宋体"/>
          <w:sz w:val="24"/>
        </w:rPr>
        <w:t>提供的服务时，不受到第三方关于侵犯专利权、商标权或工业设计权等知识产权的指控。如果任何第三方就上述问题提出侵权指控，</w:t>
      </w:r>
      <w:r>
        <w:rPr>
          <w:rFonts w:hint="eastAsia" w:ascii="宋体" w:hAnsi="宋体" w:cs="宋体"/>
          <w:sz w:val="24"/>
          <w:lang w:eastAsia="zh-CN"/>
        </w:rPr>
        <w:t>成交人</w:t>
      </w:r>
      <w:r>
        <w:rPr>
          <w:rFonts w:hint="eastAsia" w:ascii="宋体" w:hAnsi="宋体" w:cs="宋体"/>
          <w:sz w:val="24"/>
        </w:rPr>
        <w:t>须与第三方交涉并承担可能发生的责任与一切费用。如采购人因此而遭致损失的，</w:t>
      </w:r>
      <w:r>
        <w:rPr>
          <w:rFonts w:hint="eastAsia" w:ascii="宋体" w:hAnsi="宋体" w:cs="宋体"/>
          <w:sz w:val="24"/>
          <w:lang w:eastAsia="zh-CN"/>
        </w:rPr>
        <w:t>成交人</w:t>
      </w:r>
      <w:r>
        <w:rPr>
          <w:rFonts w:hint="eastAsia" w:ascii="宋体" w:hAnsi="宋体" w:cs="宋体"/>
          <w:sz w:val="24"/>
        </w:rPr>
        <w:t>应赔偿该损失。</w:t>
      </w:r>
    </w:p>
    <w:p w14:paraId="2B123F76">
      <w:pPr>
        <w:pStyle w:val="3"/>
        <w:spacing w:line="460" w:lineRule="exact"/>
        <w:rPr>
          <w:rFonts w:hint="eastAsia" w:ascii="宋体" w:hAnsi="宋体" w:cs="宋体"/>
          <w:sz w:val="24"/>
        </w:rPr>
      </w:pPr>
      <w:r>
        <w:rPr>
          <w:rFonts w:hint="eastAsia" w:ascii="宋体" w:hAnsi="宋体" w:cs="宋体"/>
          <w:sz w:val="24"/>
        </w:rPr>
        <w:t>8.2</w:t>
      </w:r>
      <w:r>
        <w:rPr>
          <w:rFonts w:hint="eastAsia" w:ascii="宋体" w:hAnsi="宋体" w:cs="宋体"/>
          <w:sz w:val="24"/>
          <w:lang w:eastAsia="zh-CN"/>
        </w:rPr>
        <w:t>成交人</w:t>
      </w:r>
      <w:r>
        <w:rPr>
          <w:rFonts w:hint="eastAsia" w:ascii="宋体" w:hAnsi="宋体" w:cs="宋体"/>
          <w:sz w:val="24"/>
        </w:rPr>
        <w:t>为执行本合同而提供的技术资料、软件，采购人有权进行使用，</w:t>
      </w:r>
      <w:r>
        <w:rPr>
          <w:rFonts w:hint="eastAsia" w:ascii="宋体" w:hAnsi="宋体" w:cs="宋体"/>
          <w:sz w:val="24"/>
          <w:lang w:eastAsia="zh-CN"/>
        </w:rPr>
        <w:t>成交人</w:t>
      </w:r>
      <w:r>
        <w:rPr>
          <w:rFonts w:hint="eastAsia" w:ascii="宋体" w:hAnsi="宋体" w:cs="宋体"/>
          <w:sz w:val="24"/>
        </w:rPr>
        <w:t>不得主张任何费用。</w:t>
      </w:r>
    </w:p>
    <w:p w14:paraId="4C639D93">
      <w:pPr>
        <w:pStyle w:val="3"/>
        <w:spacing w:line="460" w:lineRule="exact"/>
        <w:rPr>
          <w:rFonts w:hint="eastAsia" w:ascii="宋体" w:hAnsi="宋体" w:cs="宋体"/>
          <w:sz w:val="24"/>
        </w:rPr>
      </w:pPr>
      <w:r>
        <w:rPr>
          <w:rFonts w:hint="eastAsia" w:ascii="宋体" w:hAnsi="宋体" w:cs="宋体"/>
          <w:sz w:val="24"/>
        </w:rPr>
        <w:t>9</w:t>
      </w:r>
      <w:r>
        <w:rPr>
          <w:rFonts w:hint="eastAsia" w:ascii="宋体" w:hAnsi="宋体" w:cs="宋体"/>
          <w:sz w:val="24"/>
          <w:lang w:eastAsia="zh-CN"/>
        </w:rPr>
        <w:t>、</w:t>
      </w:r>
      <w:r>
        <w:rPr>
          <w:rFonts w:hint="eastAsia" w:ascii="宋体" w:hAnsi="宋体" w:cs="宋体"/>
          <w:sz w:val="24"/>
        </w:rPr>
        <w:t>保密</w:t>
      </w:r>
    </w:p>
    <w:p w14:paraId="5BE1C4F1">
      <w:pPr>
        <w:pStyle w:val="3"/>
        <w:spacing w:line="460" w:lineRule="exact"/>
        <w:rPr>
          <w:rFonts w:hint="eastAsia" w:ascii="宋体" w:hAnsi="宋体" w:cs="宋体"/>
          <w:sz w:val="24"/>
        </w:rPr>
      </w:pPr>
      <w:r>
        <w:rPr>
          <w:rFonts w:hint="eastAsia" w:ascii="宋体" w:hAnsi="宋体" w:cs="宋体"/>
          <w:sz w:val="24"/>
        </w:rPr>
        <w:t>9.1未经采购人事先书面同意，</w:t>
      </w:r>
      <w:r>
        <w:rPr>
          <w:rFonts w:hint="eastAsia" w:ascii="宋体" w:hAnsi="宋体" w:cs="宋体"/>
          <w:sz w:val="24"/>
          <w:lang w:eastAsia="zh-CN"/>
        </w:rPr>
        <w:t>成交人</w:t>
      </w:r>
      <w:r>
        <w:rPr>
          <w:rFonts w:hint="eastAsia" w:ascii="宋体" w:hAnsi="宋体" w:cs="宋体"/>
          <w:sz w:val="24"/>
        </w:rPr>
        <w:t>不得将由采购人为本项目合同提供的条文、规格、计划、资料提供给与本合同无关的任何第三方，不得将其用于履行本项目合同之外的其它用途。即使向与履行本项目合同有关的人员提供，也应注意保密并限于履行项目所必需的范围。</w:t>
      </w:r>
    </w:p>
    <w:p w14:paraId="2930D30B">
      <w:pPr>
        <w:pStyle w:val="3"/>
        <w:spacing w:line="460" w:lineRule="exact"/>
        <w:rPr>
          <w:rFonts w:hint="eastAsia" w:ascii="宋体" w:hAnsi="宋体" w:cs="宋体"/>
          <w:sz w:val="24"/>
        </w:rPr>
      </w:pPr>
      <w:r>
        <w:rPr>
          <w:rFonts w:hint="eastAsia" w:ascii="宋体" w:hAnsi="宋体" w:cs="宋体"/>
          <w:sz w:val="24"/>
        </w:rPr>
        <w:t>9.2除了合同本身之外，上款所列举的任何对象均是采购人的财产。如果采购人有要求，</w:t>
      </w:r>
      <w:r>
        <w:rPr>
          <w:rFonts w:hint="eastAsia" w:ascii="宋体" w:hAnsi="宋体" w:cs="宋体"/>
          <w:sz w:val="24"/>
          <w:lang w:eastAsia="zh-CN"/>
        </w:rPr>
        <w:t>成交人</w:t>
      </w:r>
      <w:r>
        <w:rPr>
          <w:rFonts w:hint="eastAsia" w:ascii="宋体" w:hAnsi="宋体" w:cs="宋体"/>
          <w:sz w:val="24"/>
        </w:rPr>
        <w:t>在收到采购人的要求后10日内应将这些对象及全部复制件还给采购人，不得留存任何备份。</w:t>
      </w:r>
    </w:p>
    <w:p w14:paraId="08225E8C">
      <w:pPr>
        <w:pStyle w:val="3"/>
        <w:spacing w:line="460" w:lineRule="exact"/>
        <w:rPr>
          <w:rFonts w:hint="eastAsia" w:ascii="宋体" w:hAnsi="宋体" w:cs="宋体"/>
          <w:sz w:val="24"/>
        </w:rPr>
      </w:pPr>
      <w:r>
        <w:rPr>
          <w:rFonts w:hint="eastAsia" w:ascii="宋体" w:hAnsi="宋体" w:cs="宋体"/>
          <w:sz w:val="24"/>
        </w:rPr>
        <w:t>9.3</w:t>
      </w:r>
      <w:r>
        <w:rPr>
          <w:rFonts w:hint="eastAsia" w:ascii="宋体" w:hAnsi="宋体" w:cs="宋体"/>
          <w:sz w:val="24"/>
          <w:lang w:eastAsia="zh-CN"/>
        </w:rPr>
        <w:t>成交人</w:t>
      </w:r>
      <w:r>
        <w:rPr>
          <w:rFonts w:hint="eastAsia" w:ascii="宋体" w:hAnsi="宋体" w:cs="宋体"/>
          <w:sz w:val="24"/>
        </w:rPr>
        <w:t>违反本保密条款的，应按照合同总金额5%的支付违约金，</w:t>
      </w:r>
      <w:r>
        <w:rPr>
          <w:rFonts w:hint="eastAsia" w:ascii="宋体" w:hAnsi="宋体" w:cs="宋体"/>
          <w:sz w:val="24"/>
          <w:lang w:eastAsia="zh-CN"/>
        </w:rPr>
        <w:t>成交人</w:t>
      </w:r>
      <w:r>
        <w:rPr>
          <w:rFonts w:hint="eastAsia" w:ascii="宋体" w:hAnsi="宋体" w:cs="宋体"/>
          <w:sz w:val="24"/>
        </w:rPr>
        <w:t>须以转账方式支付给采购人，并赔偿由此给采购人造成的任何损失。同时，采购人有权解除合同。本条款在本合同履行期间至履行结束后均有效。</w:t>
      </w:r>
    </w:p>
    <w:p w14:paraId="1FC323F0">
      <w:pPr>
        <w:pStyle w:val="3"/>
        <w:spacing w:line="460" w:lineRule="exact"/>
        <w:rPr>
          <w:rFonts w:hint="eastAsia" w:ascii="宋体" w:hAnsi="宋体" w:cs="宋体"/>
          <w:sz w:val="24"/>
        </w:rPr>
      </w:pPr>
      <w:r>
        <w:rPr>
          <w:rFonts w:hint="eastAsia" w:ascii="宋体" w:hAnsi="宋体" w:cs="宋体"/>
          <w:sz w:val="24"/>
        </w:rPr>
        <w:t>10.违约责任</w:t>
      </w:r>
    </w:p>
    <w:p w14:paraId="0B6F324F">
      <w:pPr>
        <w:pStyle w:val="3"/>
        <w:spacing w:line="460" w:lineRule="exact"/>
        <w:rPr>
          <w:rFonts w:hint="eastAsia" w:ascii="宋体" w:hAnsi="宋体" w:cs="宋体"/>
          <w:sz w:val="24"/>
        </w:rPr>
      </w:pPr>
      <w:r>
        <w:rPr>
          <w:rFonts w:hint="eastAsia" w:ascii="宋体" w:hAnsi="宋体" w:cs="宋体"/>
          <w:sz w:val="24"/>
        </w:rPr>
        <w:t>10.</w:t>
      </w:r>
      <w:r>
        <w:rPr>
          <w:rFonts w:hint="eastAsia" w:ascii="宋体" w:hAnsi="宋体" w:cs="宋体"/>
          <w:sz w:val="24"/>
          <w:lang w:val="en-US" w:eastAsia="zh-CN"/>
        </w:rPr>
        <w:t>1</w:t>
      </w:r>
      <w:r>
        <w:rPr>
          <w:rFonts w:hint="eastAsia" w:ascii="宋体" w:hAnsi="宋体" w:cs="宋体"/>
          <w:sz w:val="24"/>
          <w:lang w:eastAsia="zh-CN"/>
        </w:rPr>
        <w:t>成交人</w:t>
      </w:r>
      <w:r>
        <w:rPr>
          <w:rFonts w:hint="eastAsia" w:ascii="宋体" w:hAnsi="宋体" w:cs="宋体"/>
          <w:sz w:val="24"/>
        </w:rPr>
        <w:t>未按照合同约定安排相应人员提供服务的，每逾期一日，应向采购人支付合同总金额的0.5%的违约金；如逾期超过30日的，采购人有权解除合同，且</w:t>
      </w:r>
      <w:r>
        <w:rPr>
          <w:rFonts w:hint="eastAsia" w:ascii="宋体" w:hAnsi="宋体" w:cs="宋体"/>
          <w:sz w:val="24"/>
          <w:lang w:eastAsia="zh-CN"/>
        </w:rPr>
        <w:t>成交人</w:t>
      </w:r>
      <w:r>
        <w:rPr>
          <w:rFonts w:hint="eastAsia" w:ascii="宋体" w:hAnsi="宋体" w:cs="宋体"/>
          <w:sz w:val="24"/>
        </w:rPr>
        <w:t>仍应按合同约定支付违约金。违约金的支付不影响采购人向</w:t>
      </w:r>
      <w:r>
        <w:rPr>
          <w:rFonts w:hint="eastAsia" w:ascii="宋体" w:hAnsi="宋体" w:cs="宋体"/>
          <w:sz w:val="24"/>
          <w:lang w:eastAsia="zh-CN"/>
        </w:rPr>
        <w:t>成交人</w:t>
      </w:r>
      <w:r>
        <w:rPr>
          <w:rFonts w:hint="eastAsia" w:ascii="宋体" w:hAnsi="宋体" w:cs="宋体"/>
          <w:sz w:val="24"/>
        </w:rPr>
        <w:t>要求的损害赔偿。</w:t>
      </w:r>
    </w:p>
    <w:p w14:paraId="6AEDF107">
      <w:pPr>
        <w:pStyle w:val="3"/>
        <w:spacing w:line="460" w:lineRule="exact"/>
        <w:rPr>
          <w:rFonts w:hint="eastAsia" w:ascii="宋体" w:hAnsi="宋体" w:cs="宋体"/>
          <w:sz w:val="24"/>
        </w:rPr>
      </w:pPr>
      <w:r>
        <w:rPr>
          <w:rFonts w:hint="eastAsia" w:ascii="宋体" w:hAnsi="宋体" w:cs="宋体"/>
          <w:sz w:val="24"/>
        </w:rPr>
        <w:t>10.</w:t>
      </w:r>
      <w:r>
        <w:rPr>
          <w:rFonts w:hint="eastAsia" w:ascii="宋体" w:hAnsi="宋体" w:cs="宋体"/>
          <w:sz w:val="24"/>
          <w:lang w:val="en-US" w:eastAsia="zh-CN"/>
        </w:rPr>
        <w:t>2</w:t>
      </w:r>
      <w:r>
        <w:rPr>
          <w:rFonts w:hint="eastAsia" w:ascii="宋体" w:hAnsi="宋体" w:cs="宋体"/>
          <w:sz w:val="24"/>
        </w:rPr>
        <w:t xml:space="preserve"> 因</w:t>
      </w:r>
      <w:r>
        <w:rPr>
          <w:rFonts w:hint="eastAsia" w:ascii="宋体" w:hAnsi="宋体" w:cs="宋体"/>
          <w:sz w:val="24"/>
          <w:lang w:eastAsia="zh-CN"/>
        </w:rPr>
        <w:t>成交人</w:t>
      </w:r>
      <w:r>
        <w:rPr>
          <w:rFonts w:hint="eastAsia" w:ascii="宋体" w:hAnsi="宋体" w:cs="宋体"/>
          <w:sz w:val="24"/>
        </w:rPr>
        <w:t>原因，致使服务及验收过程中导致第三方权益受损的（如安全事故），</w:t>
      </w:r>
      <w:r>
        <w:rPr>
          <w:rFonts w:hint="eastAsia" w:ascii="宋体" w:hAnsi="宋体" w:cs="宋体"/>
          <w:sz w:val="24"/>
          <w:lang w:eastAsia="zh-CN"/>
        </w:rPr>
        <w:t>成交人</w:t>
      </w:r>
      <w:r>
        <w:rPr>
          <w:rFonts w:hint="eastAsia" w:ascii="宋体" w:hAnsi="宋体" w:cs="宋体"/>
          <w:sz w:val="24"/>
        </w:rPr>
        <w:t>除应赔偿第三方相应的损失外，还应向采购人支付本合同总额5%的违约金。</w:t>
      </w:r>
    </w:p>
    <w:p w14:paraId="4D4F7663">
      <w:pPr>
        <w:pStyle w:val="3"/>
        <w:spacing w:line="460" w:lineRule="exact"/>
        <w:rPr>
          <w:rFonts w:hint="eastAsia" w:ascii="宋体" w:hAnsi="宋体" w:cs="宋体"/>
          <w:sz w:val="24"/>
        </w:rPr>
      </w:pPr>
      <w:r>
        <w:rPr>
          <w:rFonts w:hint="eastAsia" w:ascii="宋体" w:hAnsi="宋体" w:cs="宋体"/>
          <w:sz w:val="24"/>
        </w:rPr>
        <w:t>10.</w:t>
      </w:r>
      <w:r>
        <w:rPr>
          <w:rFonts w:hint="eastAsia" w:ascii="宋体" w:hAnsi="宋体" w:cs="宋体"/>
          <w:sz w:val="24"/>
          <w:lang w:val="en-US" w:eastAsia="zh-CN"/>
        </w:rPr>
        <w:t>3</w:t>
      </w:r>
      <w:r>
        <w:rPr>
          <w:rFonts w:hint="eastAsia" w:ascii="宋体" w:hAnsi="宋体" w:cs="宋体"/>
          <w:sz w:val="24"/>
        </w:rPr>
        <w:t>除上述所列情形外，交货不符合约定或存在缺陷的，</w:t>
      </w:r>
      <w:r>
        <w:rPr>
          <w:rFonts w:hint="eastAsia" w:ascii="宋体" w:hAnsi="宋体" w:cs="宋体"/>
          <w:sz w:val="24"/>
          <w:lang w:eastAsia="zh-CN"/>
        </w:rPr>
        <w:t>成交人</w:t>
      </w:r>
      <w:r>
        <w:rPr>
          <w:rFonts w:hint="eastAsia" w:ascii="宋体" w:hAnsi="宋体" w:cs="宋体"/>
          <w:sz w:val="24"/>
        </w:rPr>
        <w:t>对所供课程素材与合同要求不符负有责任，如经检验证实不符或缺陷存在的，包括潜在的缺陷或使用不合适的原料等，采购人可根据本合同有关质量保证或检验、验收的规定，选择下述一种或多种结合的方法解决索赔事宜：</w:t>
      </w:r>
    </w:p>
    <w:p w14:paraId="3182BD31">
      <w:pPr>
        <w:pStyle w:val="3"/>
        <w:spacing w:line="460" w:lineRule="exact"/>
        <w:rPr>
          <w:rFonts w:hint="eastAsia" w:ascii="宋体" w:hAnsi="宋体" w:cs="宋体"/>
          <w:sz w:val="24"/>
        </w:rPr>
      </w:pPr>
      <w:r>
        <w:rPr>
          <w:rFonts w:hint="eastAsia" w:ascii="宋体" w:hAnsi="宋体" w:cs="宋体"/>
          <w:sz w:val="24"/>
        </w:rPr>
        <w:t>10.</w:t>
      </w:r>
      <w:r>
        <w:rPr>
          <w:rFonts w:hint="eastAsia" w:ascii="宋体" w:hAnsi="宋体" w:cs="宋体"/>
          <w:sz w:val="24"/>
          <w:lang w:val="en-US" w:eastAsia="zh-CN"/>
        </w:rPr>
        <w:t>4</w:t>
      </w:r>
      <w:r>
        <w:rPr>
          <w:rFonts w:hint="eastAsia" w:ascii="宋体" w:hAnsi="宋体" w:cs="宋体"/>
          <w:sz w:val="24"/>
        </w:rPr>
        <w:t>采购人要求退货并解除合同的，</w:t>
      </w:r>
      <w:r>
        <w:rPr>
          <w:rFonts w:hint="eastAsia" w:ascii="宋体" w:hAnsi="宋体" w:cs="宋体"/>
          <w:sz w:val="24"/>
          <w:lang w:eastAsia="zh-CN"/>
        </w:rPr>
        <w:t>成交人</w:t>
      </w:r>
      <w:r>
        <w:rPr>
          <w:rFonts w:hint="eastAsia" w:ascii="宋体" w:hAnsi="宋体" w:cs="宋体"/>
          <w:sz w:val="24"/>
        </w:rPr>
        <w:t>应承担因退货而发生的一切损失和费用，包括利息、银行手续费、运费、保险费、检验费、仓储费、装卸费以及为保管、维护和退回被拒收服务所发生的其它必要费用，且还应向采购人支付合同金额  10%  的违约金。</w:t>
      </w:r>
    </w:p>
    <w:p w14:paraId="3F37302E">
      <w:pPr>
        <w:pStyle w:val="3"/>
        <w:spacing w:line="460" w:lineRule="exact"/>
        <w:rPr>
          <w:rFonts w:hint="eastAsia" w:ascii="宋体" w:hAnsi="宋体" w:cs="宋体"/>
          <w:sz w:val="24"/>
        </w:rPr>
      </w:pPr>
      <w:r>
        <w:rPr>
          <w:rFonts w:hint="eastAsia" w:ascii="宋体" w:hAnsi="宋体" w:cs="宋体"/>
          <w:sz w:val="24"/>
        </w:rPr>
        <w:t>10.</w:t>
      </w:r>
      <w:r>
        <w:rPr>
          <w:rFonts w:hint="eastAsia" w:ascii="宋体" w:hAnsi="宋体" w:cs="宋体"/>
          <w:sz w:val="24"/>
          <w:lang w:val="en-US" w:eastAsia="zh-CN"/>
        </w:rPr>
        <w:t>5</w:t>
      </w:r>
      <w:r>
        <w:rPr>
          <w:rFonts w:hint="eastAsia" w:ascii="宋体" w:hAnsi="宋体" w:cs="宋体"/>
          <w:sz w:val="24"/>
          <w:lang w:eastAsia="zh-CN"/>
        </w:rPr>
        <w:t>成交人</w:t>
      </w:r>
      <w:r>
        <w:rPr>
          <w:rFonts w:hint="eastAsia" w:ascii="宋体" w:hAnsi="宋体" w:cs="宋体"/>
          <w:sz w:val="24"/>
        </w:rPr>
        <w:t>收到采购人书面索赔通知后 5 天内，未给采购人答复的，视为索赔已被</w:t>
      </w:r>
      <w:r>
        <w:rPr>
          <w:rFonts w:hint="eastAsia" w:ascii="宋体" w:hAnsi="宋体" w:cs="宋体"/>
          <w:sz w:val="24"/>
          <w:lang w:eastAsia="zh-CN"/>
        </w:rPr>
        <w:t>成交人</w:t>
      </w:r>
      <w:r>
        <w:rPr>
          <w:rFonts w:hint="eastAsia" w:ascii="宋体" w:hAnsi="宋体" w:cs="宋体"/>
          <w:sz w:val="24"/>
        </w:rPr>
        <w:t>接受。</w:t>
      </w:r>
      <w:r>
        <w:rPr>
          <w:rFonts w:hint="eastAsia" w:ascii="宋体" w:hAnsi="宋体" w:cs="宋体"/>
          <w:sz w:val="24"/>
          <w:lang w:eastAsia="zh-CN"/>
        </w:rPr>
        <w:t>成交人</w:t>
      </w:r>
      <w:r>
        <w:rPr>
          <w:rFonts w:hint="eastAsia" w:ascii="宋体" w:hAnsi="宋体" w:cs="宋体"/>
          <w:sz w:val="24"/>
        </w:rPr>
        <w:t>未能在收到索赔通知后  5  天内，或征得采购人同意的延长期限内，按照采购人从上列方法中选择的方案解决索赔事宜的，采购人将有权从未付货款中扣回索赔金额，同时保留进一步要求索赔的权利。</w:t>
      </w:r>
      <w:r>
        <w:rPr>
          <w:rFonts w:hint="eastAsia" w:ascii="宋体" w:hAnsi="宋体" w:cs="宋体"/>
          <w:sz w:val="24"/>
          <w:lang w:eastAsia="zh-CN"/>
        </w:rPr>
        <w:t>成交人</w:t>
      </w:r>
      <w:r>
        <w:rPr>
          <w:rFonts w:hint="eastAsia" w:ascii="宋体" w:hAnsi="宋体" w:cs="宋体"/>
          <w:sz w:val="24"/>
        </w:rPr>
        <w:t>还应向采购人支付合同金额 10 %的违约金。</w:t>
      </w:r>
    </w:p>
    <w:p w14:paraId="3E4347CE">
      <w:pPr>
        <w:pStyle w:val="3"/>
        <w:spacing w:line="460" w:lineRule="exact"/>
        <w:rPr>
          <w:rFonts w:hint="eastAsia" w:ascii="宋体" w:hAnsi="宋体" w:cs="宋体"/>
          <w:sz w:val="24"/>
        </w:rPr>
      </w:pPr>
      <w:r>
        <w:rPr>
          <w:rFonts w:hint="eastAsia" w:ascii="宋体" w:hAnsi="宋体" w:cs="宋体"/>
          <w:sz w:val="24"/>
        </w:rPr>
        <w:t>10.</w:t>
      </w:r>
      <w:r>
        <w:rPr>
          <w:rFonts w:hint="eastAsia" w:ascii="宋体" w:hAnsi="宋体" w:cs="宋体"/>
          <w:sz w:val="24"/>
          <w:lang w:val="en-US" w:eastAsia="zh-CN"/>
        </w:rPr>
        <w:t>6</w:t>
      </w:r>
      <w:r>
        <w:rPr>
          <w:rFonts w:hint="eastAsia" w:ascii="宋体" w:hAnsi="宋体" w:cs="宋体"/>
          <w:sz w:val="24"/>
        </w:rPr>
        <w:t>上述违约金数额并不影响受损害方另行向违约方要求损害赔偿。该赔偿以受损害方实际遭受的损失为限。</w:t>
      </w:r>
    </w:p>
    <w:p w14:paraId="6BB59082">
      <w:pPr>
        <w:pStyle w:val="3"/>
        <w:spacing w:line="460" w:lineRule="exact"/>
        <w:rPr>
          <w:rFonts w:hint="eastAsia" w:ascii="宋体" w:hAnsi="宋体" w:cs="宋体"/>
          <w:sz w:val="24"/>
        </w:rPr>
      </w:pPr>
      <w:r>
        <w:rPr>
          <w:rFonts w:hint="eastAsia" w:ascii="宋体" w:hAnsi="宋体" w:cs="宋体"/>
          <w:sz w:val="24"/>
        </w:rPr>
        <w:t>11</w:t>
      </w:r>
      <w:r>
        <w:rPr>
          <w:rFonts w:hint="eastAsia" w:ascii="宋体" w:hAnsi="宋体" w:cs="宋体"/>
          <w:sz w:val="24"/>
          <w:lang w:eastAsia="zh-CN"/>
        </w:rPr>
        <w:t>、</w:t>
      </w:r>
      <w:r>
        <w:rPr>
          <w:rFonts w:hint="eastAsia" w:ascii="宋体" w:hAnsi="宋体" w:cs="宋体"/>
          <w:sz w:val="24"/>
        </w:rPr>
        <w:t>不可抗力</w:t>
      </w:r>
    </w:p>
    <w:p w14:paraId="7665C878">
      <w:pPr>
        <w:pStyle w:val="3"/>
        <w:spacing w:line="460" w:lineRule="exact"/>
        <w:rPr>
          <w:rFonts w:hint="eastAsia" w:ascii="宋体" w:hAnsi="宋体" w:cs="宋体"/>
          <w:sz w:val="24"/>
        </w:rPr>
      </w:pPr>
      <w:r>
        <w:rPr>
          <w:rFonts w:hint="eastAsia" w:ascii="宋体" w:hAnsi="宋体" w:cs="宋体"/>
          <w:sz w:val="24"/>
        </w:rPr>
        <w:t>11.1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14:paraId="041F8A8E">
      <w:pPr>
        <w:pStyle w:val="3"/>
        <w:spacing w:line="460" w:lineRule="exact"/>
        <w:rPr>
          <w:rFonts w:hint="eastAsia" w:ascii="宋体" w:hAnsi="宋体" w:cs="宋体"/>
          <w:sz w:val="24"/>
        </w:rPr>
      </w:pPr>
      <w:r>
        <w:rPr>
          <w:rFonts w:hint="eastAsia" w:ascii="宋体" w:hAnsi="宋体" w:cs="宋体"/>
          <w:sz w:val="24"/>
        </w:rPr>
        <w:t>11.2 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14:paraId="15EF391C">
      <w:pPr>
        <w:pStyle w:val="3"/>
        <w:spacing w:line="460" w:lineRule="exact"/>
        <w:rPr>
          <w:rFonts w:hint="eastAsia" w:ascii="宋体" w:hAnsi="宋体" w:cs="宋体"/>
          <w:sz w:val="24"/>
        </w:rPr>
      </w:pPr>
      <w:r>
        <w:rPr>
          <w:rFonts w:hint="eastAsia" w:ascii="宋体" w:hAnsi="宋体" w:cs="宋体"/>
          <w:sz w:val="24"/>
        </w:rPr>
        <w:t>12</w:t>
      </w:r>
      <w:r>
        <w:rPr>
          <w:rFonts w:hint="eastAsia" w:ascii="宋体" w:hAnsi="宋体" w:cs="宋体"/>
          <w:sz w:val="24"/>
          <w:lang w:eastAsia="zh-CN"/>
        </w:rPr>
        <w:t>、</w:t>
      </w:r>
      <w:r>
        <w:rPr>
          <w:rFonts w:hint="eastAsia" w:ascii="宋体" w:hAnsi="宋体" w:cs="宋体"/>
          <w:sz w:val="24"/>
        </w:rPr>
        <w:t>合同终止</w:t>
      </w:r>
    </w:p>
    <w:p w14:paraId="5B131E1E">
      <w:pPr>
        <w:pStyle w:val="3"/>
        <w:spacing w:line="460" w:lineRule="exact"/>
        <w:rPr>
          <w:rFonts w:hint="eastAsia" w:ascii="宋体" w:hAnsi="宋体" w:cs="宋体"/>
          <w:sz w:val="24"/>
        </w:rPr>
      </w:pPr>
      <w:r>
        <w:rPr>
          <w:rFonts w:hint="eastAsia" w:ascii="宋体" w:hAnsi="宋体" w:cs="宋体"/>
          <w:sz w:val="24"/>
        </w:rPr>
        <w:t>12.1合同自然终止</w:t>
      </w:r>
    </w:p>
    <w:p w14:paraId="16E63D07">
      <w:pPr>
        <w:pStyle w:val="3"/>
        <w:spacing w:line="460" w:lineRule="exact"/>
        <w:rPr>
          <w:rFonts w:hint="eastAsia" w:ascii="宋体" w:hAnsi="宋体" w:cs="宋体"/>
          <w:sz w:val="24"/>
        </w:rPr>
      </w:pPr>
      <w:r>
        <w:rPr>
          <w:rFonts w:hint="eastAsia" w:ascii="宋体" w:hAnsi="宋体" w:cs="宋体"/>
          <w:sz w:val="24"/>
        </w:rPr>
        <w:t>12.1.1甲乙双方各自完成合同规定的责任和义务，合同自然终止。</w:t>
      </w:r>
    </w:p>
    <w:p w14:paraId="62614E71">
      <w:pPr>
        <w:pStyle w:val="3"/>
        <w:spacing w:line="460" w:lineRule="exact"/>
        <w:rPr>
          <w:rFonts w:hint="eastAsia" w:ascii="宋体" w:hAnsi="宋体" w:cs="宋体"/>
          <w:sz w:val="24"/>
        </w:rPr>
      </w:pPr>
      <w:r>
        <w:rPr>
          <w:rFonts w:hint="eastAsia" w:ascii="宋体" w:hAnsi="宋体" w:cs="宋体"/>
          <w:sz w:val="24"/>
        </w:rPr>
        <w:t>12.1.2产品发生重大质量事故。</w:t>
      </w:r>
    </w:p>
    <w:p w14:paraId="78F496B5">
      <w:pPr>
        <w:pStyle w:val="3"/>
        <w:spacing w:line="460" w:lineRule="exact"/>
        <w:rPr>
          <w:rFonts w:hint="eastAsia" w:ascii="宋体" w:hAnsi="宋体" w:cs="宋体"/>
          <w:sz w:val="24"/>
        </w:rPr>
      </w:pPr>
      <w:r>
        <w:rPr>
          <w:rFonts w:hint="eastAsia" w:ascii="宋体" w:hAnsi="宋体" w:cs="宋体"/>
          <w:sz w:val="24"/>
        </w:rPr>
        <w:t>12.1.3产品批准文号被吊销。</w:t>
      </w:r>
    </w:p>
    <w:p w14:paraId="4EA9D7D8">
      <w:pPr>
        <w:pStyle w:val="3"/>
        <w:spacing w:line="460" w:lineRule="exact"/>
        <w:rPr>
          <w:rFonts w:hint="eastAsia" w:ascii="宋体" w:hAnsi="宋体" w:cs="宋体"/>
          <w:sz w:val="24"/>
        </w:rPr>
      </w:pPr>
      <w:r>
        <w:rPr>
          <w:rFonts w:hint="eastAsia" w:ascii="宋体" w:hAnsi="宋体" w:cs="宋体"/>
          <w:sz w:val="24"/>
        </w:rPr>
        <w:t>12.1.4财政部门款项不到位。</w:t>
      </w:r>
    </w:p>
    <w:p w14:paraId="6CA26B57">
      <w:pPr>
        <w:pStyle w:val="3"/>
        <w:spacing w:line="460" w:lineRule="exact"/>
        <w:rPr>
          <w:rFonts w:hint="eastAsia" w:ascii="宋体" w:hAnsi="宋体" w:cs="宋体"/>
          <w:sz w:val="24"/>
        </w:rPr>
      </w:pPr>
      <w:r>
        <w:rPr>
          <w:rFonts w:hint="eastAsia" w:ascii="宋体" w:hAnsi="宋体" w:cs="宋体"/>
          <w:sz w:val="24"/>
        </w:rPr>
        <w:t>12.1.5国家政策发生改变。</w:t>
      </w:r>
    </w:p>
    <w:p w14:paraId="6AF8C69D">
      <w:pPr>
        <w:pStyle w:val="3"/>
        <w:spacing w:line="460" w:lineRule="exact"/>
        <w:rPr>
          <w:rFonts w:hint="eastAsia" w:ascii="宋体" w:hAnsi="宋体" w:cs="宋体"/>
          <w:sz w:val="24"/>
        </w:rPr>
      </w:pPr>
      <w:r>
        <w:rPr>
          <w:rFonts w:hint="eastAsia" w:ascii="宋体" w:hAnsi="宋体" w:cs="宋体"/>
          <w:sz w:val="24"/>
        </w:rPr>
        <w:t>因上述1.2、1.3款致使合同终止的，</w:t>
      </w:r>
      <w:r>
        <w:rPr>
          <w:rFonts w:hint="eastAsia" w:ascii="宋体" w:hAnsi="宋体" w:cs="宋体"/>
          <w:sz w:val="24"/>
          <w:lang w:eastAsia="zh-CN"/>
        </w:rPr>
        <w:t>成交人</w:t>
      </w:r>
      <w:r>
        <w:rPr>
          <w:rFonts w:hint="eastAsia" w:ascii="宋体" w:hAnsi="宋体" w:cs="宋体"/>
          <w:sz w:val="24"/>
        </w:rPr>
        <w:t>应承担相应责任。因上述1.4、1.5款致使合同终止的，双方均不负任何责任。</w:t>
      </w:r>
    </w:p>
    <w:p w14:paraId="6B297F67">
      <w:pPr>
        <w:pStyle w:val="3"/>
        <w:spacing w:line="460" w:lineRule="exact"/>
        <w:rPr>
          <w:rFonts w:hint="eastAsia" w:ascii="宋体" w:hAnsi="宋体" w:cs="宋体"/>
          <w:sz w:val="24"/>
        </w:rPr>
      </w:pPr>
      <w:r>
        <w:rPr>
          <w:rFonts w:hint="eastAsia" w:ascii="宋体" w:hAnsi="宋体" w:cs="宋体"/>
          <w:sz w:val="24"/>
        </w:rPr>
        <w:t>12.2. 违约违规终止合同</w:t>
      </w:r>
    </w:p>
    <w:p w14:paraId="73CE561F">
      <w:pPr>
        <w:pStyle w:val="3"/>
        <w:spacing w:line="460" w:lineRule="exact"/>
        <w:rPr>
          <w:rFonts w:hint="eastAsia" w:ascii="宋体" w:hAnsi="宋体" w:cs="宋体"/>
          <w:sz w:val="24"/>
        </w:rPr>
      </w:pPr>
      <w:r>
        <w:rPr>
          <w:rFonts w:hint="eastAsia" w:ascii="宋体" w:hAnsi="宋体" w:cs="宋体"/>
          <w:sz w:val="24"/>
        </w:rPr>
        <w:t>若</w:t>
      </w:r>
      <w:r>
        <w:rPr>
          <w:rFonts w:hint="eastAsia" w:ascii="宋体" w:hAnsi="宋体" w:cs="宋体"/>
          <w:sz w:val="24"/>
          <w:lang w:eastAsia="zh-CN"/>
        </w:rPr>
        <w:t>成交人</w:t>
      </w:r>
      <w:r>
        <w:rPr>
          <w:rFonts w:hint="eastAsia" w:ascii="宋体" w:hAnsi="宋体" w:cs="宋体"/>
          <w:sz w:val="24"/>
        </w:rPr>
        <w:t>存在下列违约情形，在采购人对</w:t>
      </w:r>
      <w:r>
        <w:rPr>
          <w:rFonts w:hint="eastAsia" w:ascii="宋体" w:hAnsi="宋体" w:cs="宋体"/>
          <w:sz w:val="24"/>
          <w:lang w:eastAsia="zh-CN"/>
        </w:rPr>
        <w:t>成交人</w:t>
      </w:r>
      <w:r>
        <w:rPr>
          <w:rFonts w:hint="eastAsia" w:ascii="宋体" w:hAnsi="宋体" w:cs="宋体"/>
          <w:sz w:val="24"/>
        </w:rPr>
        <w:t>违约而采取的任何补救措施不受影响的情况下，采购人还可向</w:t>
      </w:r>
      <w:r>
        <w:rPr>
          <w:rFonts w:hint="eastAsia" w:ascii="宋体" w:hAnsi="宋体" w:cs="宋体"/>
          <w:sz w:val="24"/>
          <w:lang w:eastAsia="zh-CN"/>
        </w:rPr>
        <w:t>成交人</w:t>
      </w:r>
      <w:r>
        <w:rPr>
          <w:rFonts w:hint="eastAsia" w:ascii="宋体" w:hAnsi="宋体" w:cs="宋体"/>
          <w:sz w:val="24"/>
        </w:rPr>
        <w:t>发出书面的违约通知书，单方终止部分或全部合同：</w:t>
      </w:r>
    </w:p>
    <w:p w14:paraId="29468630">
      <w:pPr>
        <w:pStyle w:val="3"/>
        <w:spacing w:line="460" w:lineRule="exact"/>
        <w:rPr>
          <w:rFonts w:hint="eastAsia" w:ascii="宋体" w:hAnsi="宋体" w:cs="宋体"/>
          <w:sz w:val="24"/>
        </w:rPr>
      </w:pPr>
      <w:r>
        <w:rPr>
          <w:rFonts w:hint="eastAsia" w:ascii="宋体" w:hAnsi="宋体" w:cs="宋体"/>
          <w:sz w:val="24"/>
        </w:rPr>
        <w:t>12.2.1如果</w:t>
      </w:r>
      <w:r>
        <w:rPr>
          <w:rFonts w:hint="eastAsia" w:ascii="宋体" w:hAnsi="宋体" w:cs="宋体"/>
          <w:sz w:val="24"/>
          <w:lang w:eastAsia="zh-CN"/>
        </w:rPr>
        <w:t>成交人</w:t>
      </w:r>
      <w:r>
        <w:rPr>
          <w:rFonts w:hint="eastAsia" w:ascii="宋体" w:hAnsi="宋体" w:cs="宋体"/>
          <w:sz w:val="24"/>
        </w:rPr>
        <w:t>未能在合同规定的期限内提供服务（参见有关逾期交货的条款）；</w:t>
      </w:r>
    </w:p>
    <w:p w14:paraId="7AEF3764">
      <w:pPr>
        <w:pStyle w:val="3"/>
        <w:spacing w:line="460" w:lineRule="exact"/>
        <w:rPr>
          <w:rFonts w:hint="eastAsia" w:ascii="宋体" w:hAnsi="宋体" w:cs="宋体"/>
          <w:sz w:val="24"/>
        </w:rPr>
      </w:pPr>
      <w:r>
        <w:rPr>
          <w:rFonts w:hint="eastAsia" w:ascii="宋体" w:hAnsi="宋体" w:cs="宋体"/>
          <w:sz w:val="24"/>
        </w:rPr>
        <w:t>12.2.2如果</w:t>
      </w:r>
      <w:r>
        <w:rPr>
          <w:rFonts w:hint="eastAsia" w:ascii="宋体" w:hAnsi="宋体" w:cs="宋体"/>
          <w:sz w:val="24"/>
          <w:lang w:eastAsia="zh-CN"/>
        </w:rPr>
        <w:t>成交人</w:t>
      </w:r>
      <w:r>
        <w:rPr>
          <w:rFonts w:hint="eastAsia" w:ascii="宋体" w:hAnsi="宋体" w:cs="宋体"/>
          <w:sz w:val="24"/>
        </w:rPr>
        <w:t>未能履行合同规定的其它任何义务，经一次书面催告后5天内还是未能履行的；</w:t>
      </w:r>
    </w:p>
    <w:p w14:paraId="4A5BC6F7">
      <w:pPr>
        <w:pStyle w:val="3"/>
        <w:spacing w:line="460" w:lineRule="exact"/>
        <w:rPr>
          <w:rFonts w:hint="eastAsia" w:ascii="宋体" w:hAnsi="宋体" w:cs="宋体"/>
          <w:sz w:val="24"/>
        </w:rPr>
      </w:pPr>
      <w:r>
        <w:rPr>
          <w:rFonts w:hint="eastAsia" w:ascii="宋体" w:hAnsi="宋体" w:cs="宋体"/>
          <w:sz w:val="24"/>
        </w:rPr>
        <w:t>12.2.3因产品质量原因导致合同无法继续履行（参见有关质量缺陷条款）。</w:t>
      </w:r>
    </w:p>
    <w:p w14:paraId="0CC056DC">
      <w:pPr>
        <w:pStyle w:val="3"/>
        <w:spacing w:line="460" w:lineRule="exact"/>
        <w:rPr>
          <w:rFonts w:hint="eastAsia" w:ascii="宋体" w:hAnsi="宋体" w:cs="宋体"/>
          <w:sz w:val="24"/>
        </w:rPr>
      </w:pPr>
      <w:r>
        <w:rPr>
          <w:rFonts w:hint="eastAsia" w:ascii="宋体" w:hAnsi="宋体" w:cs="宋体"/>
          <w:sz w:val="24"/>
        </w:rPr>
        <w:t>12.3.如果</w:t>
      </w:r>
      <w:r>
        <w:rPr>
          <w:rFonts w:hint="eastAsia" w:ascii="宋体" w:hAnsi="宋体" w:cs="宋体"/>
          <w:sz w:val="24"/>
          <w:lang w:eastAsia="zh-CN"/>
        </w:rPr>
        <w:t>成交人</w:t>
      </w:r>
      <w:r>
        <w:rPr>
          <w:rFonts w:hint="eastAsia" w:ascii="宋体" w:hAnsi="宋体" w:cs="宋体"/>
          <w:sz w:val="24"/>
        </w:rPr>
        <w:t>在本合同的投标竞争和实施过程中有违反有关政府采购的法律、法规，用不正当手段影响采购人采购过程，包括谎报或隐瞒事实、损害采购人利益、干扰采购人、 评委、招标人的招标、评标等行为的，本合同无效，给采购人造成损失的，应承担损害赔偿责任。</w:t>
      </w:r>
    </w:p>
    <w:p w14:paraId="1A83D9DB">
      <w:pPr>
        <w:pStyle w:val="3"/>
        <w:spacing w:line="460" w:lineRule="exact"/>
        <w:rPr>
          <w:rFonts w:hint="eastAsia" w:ascii="宋体" w:hAnsi="宋体" w:cs="宋体"/>
          <w:sz w:val="24"/>
        </w:rPr>
      </w:pPr>
      <w:r>
        <w:rPr>
          <w:rFonts w:hint="eastAsia" w:ascii="宋体" w:hAnsi="宋体" w:cs="宋体"/>
          <w:sz w:val="24"/>
        </w:rPr>
        <w:t>12.4.如果</w:t>
      </w:r>
      <w:r>
        <w:rPr>
          <w:rFonts w:hint="eastAsia" w:ascii="宋体" w:hAnsi="宋体" w:cs="宋体"/>
          <w:sz w:val="24"/>
          <w:lang w:eastAsia="zh-CN"/>
        </w:rPr>
        <w:t>成交人</w:t>
      </w:r>
      <w:r>
        <w:rPr>
          <w:rFonts w:hint="eastAsia" w:ascii="宋体" w:hAnsi="宋体" w:cs="宋体"/>
          <w:sz w:val="24"/>
        </w:rPr>
        <w:t>破产或无清偿能力，采购人可在任何时候以书面形式通知</w:t>
      </w:r>
      <w:r>
        <w:rPr>
          <w:rFonts w:hint="eastAsia" w:ascii="宋体" w:hAnsi="宋体" w:cs="宋体"/>
          <w:sz w:val="24"/>
          <w:lang w:eastAsia="zh-CN"/>
        </w:rPr>
        <w:t>成交人</w:t>
      </w:r>
      <w:r>
        <w:rPr>
          <w:rFonts w:hint="eastAsia" w:ascii="宋体" w:hAnsi="宋体" w:cs="宋体"/>
          <w:sz w:val="24"/>
        </w:rPr>
        <w:t>，提出终止合同而不给</w:t>
      </w:r>
      <w:r>
        <w:rPr>
          <w:rFonts w:hint="eastAsia" w:ascii="宋体" w:hAnsi="宋体" w:cs="宋体"/>
          <w:sz w:val="24"/>
          <w:lang w:eastAsia="zh-CN"/>
        </w:rPr>
        <w:t>成交人</w:t>
      </w:r>
      <w:r>
        <w:rPr>
          <w:rFonts w:hint="eastAsia" w:ascii="宋体" w:hAnsi="宋体" w:cs="宋体"/>
          <w:sz w:val="24"/>
        </w:rPr>
        <w:t>补偿。该合同的终止将不损害或影响采购人已经采取或将要采取的任何行动或补救措施的权力。</w:t>
      </w:r>
    </w:p>
    <w:p w14:paraId="78EBE63E">
      <w:pPr>
        <w:pStyle w:val="3"/>
        <w:spacing w:line="460" w:lineRule="exact"/>
        <w:rPr>
          <w:rFonts w:hint="eastAsia" w:ascii="宋体" w:hAnsi="宋体" w:cs="宋体"/>
          <w:sz w:val="24"/>
        </w:rPr>
      </w:pPr>
      <w:r>
        <w:rPr>
          <w:rFonts w:hint="eastAsia" w:ascii="宋体" w:hAnsi="宋体" w:cs="宋体"/>
          <w:sz w:val="24"/>
        </w:rPr>
        <w:t>13.合同纠纷处理方式</w:t>
      </w:r>
    </w:p>
    <w:p w14:paraId="242F7200">
      <w:pPr>
        <w:pStyle w:val="3"/>
        <w:spacing w:line="460" w:lineRule="exact"/>
        <w:ind w:firstLine="0"/>
        <w:rPr>
          <w:rFonts w:hint="eastAsia" w:ascii="宋体" w:hAnsi="宋体" w:cs="宋体"/>
          <w:sz w:val="24"/>
        </w:rPr>
      </w:pPr>
      <w:r>
        <w:rPr>
          <w:rFonts w:hint="eastAsia" w:ascii="宋体" w:hAnsi="宋体" w:cs="宋体"/>
          <w:sz w:val="24"/>
        </w:rPr>
        <w:t>因本合同或与本合同有关的一切事项发生争议，由双方友好协商解决。协商不成的，任何一方均可向采购人所在地有管辖权的人民法院提起诉讼。</w:t>
      </w:r>
    </w:p>
    <w:p w14:paraId="683AF3DD">
      <w:pPr>
        <w:pStyle w:val="3"/>
        <w:spacing w:line="460" w:lineRule="exact"/>
        <w:rPr>
          <w:rFonts w:hint="eastAsia" w:ascii="宋体" w:hAnsi="宋体" w:cs="宋体"/>
          <w:sz w:val="24"/>
        </w:rPr>
      </w:pPr>
      <w:r>
        <w:rPr>
          <w:rFonts w:hint="eastAsia" w:ascii="宋体" w:hAnsi="宋体" w:cs="宋体"/>
          <w:sz w:val="24"/>
          <w:lang w:val="en-US" w:eastAsia="zh-CN"/>
        </w:rPr>
        <w:t>14</w:t>
      </w:r>
      <w:r>
        <w:rPr>
          <w:rFonts w:hint="eastAsia" w:ascii="宋体" w:hAnsi="宋体" w:cs="宋体"/>
          <w:sz w:val="24"/>
        </w:rPr>
        <w:t>、检验与测试</w:t>
      </w:r>
    </w:p>
    <w:p w14:paraId="16157869">
      <w:pPr>
        <w:pStyle w:val="3"/>
        <w:spacing w:line="460" w:lineRule="exact"/>
        <w:rPr>
          <w:rFonts w:hint="eastAsia" w:ascii="宋体" w:hAnsi="宋体" w:cs="宋体"/>
          <w:sz w:val="24"/>
        </w:rPr>
      </w:pPr>
      <w:r>
        <w:rPr>
          <w:rFonts w:hint="eastAsia" w:ascii="宋体" w:hAnsi="宋体" w:cs="宋体"/>
          <w:sz w:val="24"/>
        </w:rPr>
        <w:t>采购人（福州职业技术学院 ）有权在服务过程中对各关键环节的成果（如封面设计初稿、三校稿件、数字平台测试版）进行审阅和测试，并提出修改意见。</w:t>
      </w:r>
      <w:r>
        <w:rPr>
          <w:rFonts w:hint="eastAsia" w:ascii="宋体" w:hAnsi="宋体" w:cs="宋体"/>
          <w:sz w:val="24"/>
          <w:lang w:eastAsia="zh-CN"/>
        </w:rPr>
        <w:t>成交人</w:t>
      </w:r>
      <w:r>
        <w:rPr>
          <w:rFonts w:hint="eastAsia" w:ascii="宋体" w:hAnsi="宋体" w:cs="宋体"/>
          <w:sz w:val="24"/>
        </w:rPr>
        <w:t>需配合修改直至符合采购人要求。</w:t>
      </w:r>
    </w:p>
    <w:p w14:paraId="5F738211">
      <w:pPr>
        <w:pStyle w:val="3"/>
        <w:spacing w:line="460" w:lineRule="exact"/>
        <w:rPr>
          <w:rFonts w:ascii="宋体" w:hAnsi="宋体" w:cs="宋体"/>
          <w:sz w:val="24"/>
        </w:rPr>
      </w:pPr>
    </w:p>
    <w:p w14:paraId="09DFB46B">
      <w:pPr>
        <w:pStyle w:val="3"/>
        <w:spacing w:line="460" w:lineRule="exact"/>
        <w:rPr>
          <w:rFonts w:ascii="宋体" w:hAnsi="宋体" w:cs="宋体"/>
          <w:sz w:val="24"/>
        </w:rPr>
      </w:pPr>
    </w:p>
    <w:p w14:paraId="0BE1F217">
      <w:pPr>
        <w:pStyle w:val="3"/>
        <w:spacing w:line="460" w:lineRule="exact"/>
        <w:rPr>
          <w:rFonts w:ascii="宋体" w:hAnsi="宋体" w:cs="宋体"/>
          <w:sz w:val="24"/>
        </w:rPr>
      </w:pPr>
      <w:r>
        <w:rPr>
          <w:rFonts w:hint="eastAsia" w:ascii="宋体" w:hAnsi="宋体" w:cs="宋体"/>
          <w:sz w:val="24"/>
        </w:rPr>
        <w:br w:type="page"/>
      </w:r>
    </w:p>
    <w:p w14:paraId="2F0758E0">
      <w:pPr>
        <w:spacing w:line="500" w:lineRule="exact"/>
        <w:jc w:val="center"/>
        <w:outlineLvl w:val="1"/>
        <w:rPr>
          <w:rFonts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270DC454">
      <w:pPr>
        <w:pStyle w:val="3"/>
        <w:spacing w:line="460" w:lineRule="exact"/>
        <w:rPr>
          <w:rFonts w:ascii="宋体" w:hAnsi="宋体" w:cs="宋体"/>
          <w:sz w:val="24"/>
        </w:rPr>
      </w:pPr>
      <w:r>
        <w:rPr>
          <w:rFonts w:hint="eastAsia" w:ascii="宋体" w:hAnsi="宋体" w:cs="宋体"/>
          <w:sz w:val="24"/>
        </w:rPr>
        <w:t>证明材料编制说明</w:t>
      </w:r>
    </w:p>
    <w:p w14:paraId="3F329F61">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258F2C03">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16B62DC1">
      <w:pPr>
        <w:pStyle w:val="3"/>
        <w:spacing w:line="460" w:lineRule="exact"/>
        <w:rPr>
          <w:rFonts w:ascii="宋体" w:hAnsi="宋体" w:cs="宋体"/>
          <w:sz w:val="24"/>
        </w:rPr>
      </w:pPr>
      <w:r>
        <w:rPr>
          <w:rFonts w:hint="eastAsia" w:ascii="宋体" w:hAnsi="宋体" w:cs="宋体"/>
          <w:sz w:val="24"/>
        </w:rPr>
        <w:t>3.其他要求：</w:t>
      </w:r>
    </w:p>
    <w:p w14:paraId="6A142316">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FA479D7">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5DA42E1F">
      <w:pPr>
        <w:pStyle w:val="3"/>
        <w:spacing w:line="460" w:lineRule="exact"/>
        <w:rPr>
          <w:rFonts w:ascii="宋体" w:hAnsi="宋体" w:cs="宋体"/>
          <w:sz w:val="24"/>
        </w:rPr>
      </w:pPr>
      <w:r>
        <w:rPr>
          <w:rFonts w:hint="eastAsia" w:ascii="宋体" w:hAnsi="宋体" w:cs="宋体"/>
          <w:sz w:val="24"/>
        </w:rPr>
        <w:br w:type="page"/>
      </w:r>
    </w:p>
    <w:p w14:paraId="37A978E1">
      <w:pPr>
        <w:pStyle w:val="64"/>
        <w:spacing w:line="500" w:lineRule="exact"/>
        <w:rPr>
          <w:rFonts w:ascii="宋体" w:hAnsi="宋体" w:cs="宋体"/>
          <w:sz w:val="24"/>
          <w:szCs w:val="24"/>
        </w:rPr>
      </w:pPr>
    </w:p>
    <w:p w14:paraId="0943226B">
      <w:pPr>
        <w:pStyle w:val="64"/>
        <w:spacing w:line="500" w:lineRule="exact"/>
        <w:rPr>
          <w:rFonts w:ascii="宋体" w:hAnsi="宋体" w:cs="宋体"/>
          <w:color w:val="000000" w:themeColor="text1"/>
          <w:sz w:val="24"/>
          <w:szCs w:val="24"/>
          <w14:textFill>
            <w14:solidFill>
              <w14:schemeClr w14:val="tx1"/>
            </w14:solidFill>
          </w14:textFill>
        </w:rPr>
      </w:pPr>
    </w:p>
    <w:p w14:paraId="267C37EB">
      <w:pPr>
        <w:spacing w:line="500" w:lineRule="exact"/>
        <w:jc w:val="center"/>
        <w:rPr>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7CDD4AD6">
      <w:pPr>
        <w:spacing w:line="500" w:lineRule="exact"/>
        <w:ind w:firstLine="600" w:firstLineChars="200"/>
        <w:jc w:val="left"/>
        <w:rPr>
          <w:rFonts w:ascii="宋体" w:hAnsi="宋体" w:cs="宋体"/>
          <w:color w:val="000000" w:themeColor="text1"/>
          <w:sz w:val="30"/>
          <w:szCs w:val="30"/>
          <w14:textFill>
            <w14:solidFill>
              <w14:schemeClr w14:val="tx1"/>
            </w14:solidFill>
          </w14:textFill>
        </w:rPr>
      </w:pPr>
    </w:p>
    <w:p w14:paraId="2F44CAB5">
      <w:pPr>
        <w:spacing w:line="500" w:lineRule="exact"/>
        <w:ind w:firstLine="600" w:firstLineChars="200"/>
        <w:jc w:val="left"/>
        <w:rPr>
          <w:rFonts w:ascii="宋体" w:hAnsi="宋体" w:cs="宋体"/>
          <w:color w:val="000000" w:themeColor="text1"/>
          <w:sz w:val="30"/>
          <w:szCs w:val="30"/>
          <w14:textFill>
            <w14:solidFill>
              <w14:schemeClr w14:val="tx1"/>
            </w14:solidFill>
          </w14:textFill>
        </w:rPr>
      </w:pPr>
    </w:p>
    <w:p w14:paraId="6E296064">
      <w:pPr>
        <w:pStyle w:val="51"/>
        <w:spacing w:beforeAutospacing="0" w:afterAutospacing="0" w:line="500" w:lineRule="exact"/>
        <w:rPr>
          <w:rFonts w:cs="宋体"/>
          <w:color w:val="000000" w:themeColor="text1"/>
          <w:sz w:val="30"/>
          <w:szCs w:val="30"/>
          <w14:textFill>
            <w14:solidFill>
              <w14:schemeClr w14:val="tx1"/>
            </w14:solidFill>
          </w14:textFill>
        </w:rPr>
      </w:pPr>
    </w:p>
    <w:p w14:paraId="4063171B">
      <w:pPr>
        <w:spacing w:line="500" w:lineRule="exact"/>
        <w:ind w:firstLine="600" w:firstLineChars="200"/>
        <w:jc w:val="left"/>
        <w:rPr>
          <w:rFonts w:ascii="宋体" w:hAnsi="宋体" w:cs="宋体"/>
          <w:color w:val="000000" w:themeColor="text1"/>
          <w:sz w:val="30"/>
          <w:szCs w:val="30"/>
          <w14:textFill>
            <w14:solidFill>
              <w14:schemeClr w14:val="tx1"/>
            </w14:solidFill>
          </w14:textFill>
        </w:rPr>
      </w:pPr>
    </w:p>
    <w:p w14:paraId="5804F4FD">
      <w:pPr>
        <w:spacing w:line="360" w:lineRule="auto"/>
        <w:ind w:firstLine="600" w:firstLineChars="200"/>
        <w:jc w:val="left"/>
        <w:rPr>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2AFA2743">
      <w:pPr>
        <w:spacing w:line="360" w:lineRule="auto"/>
        <w:ind w:firstLine="600" w:firstLineChars="200"/>
        <w:jc w:val="left"/>
        <w:rPr>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13411EFE">
      <w:pPr>
        <w:spacing w:line="360" w:lineRule="auto"/>
        <w:ind w:firstLine="600" w:firstLineChars="200"/>
        <w:jc w:val="left"/>
        <w:rPr>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4E15FA94">
      <w:pPr>
        <w:spacing w:line="360" w:lineRule="auto"/>
        <w:ind w:firstLine="600" w:firstLineChars="200"/>
        <w:jc w:val="left"/>
        <w:rPr>
          <w:rFonts w:ascii="宋体" w:hAnsi="宋体" w:cs="宋体"/>
          <w:color w:val="000000" w:themeColor="text1"/>
          <w:sz w:val="30"/>
          <w:szCs w:val="30"/>
          <w14:textFill>
            <w14:solidFill>
              <w14:schemeClr w14:val="tx1"/>
            </w14:solidFill>
          </w14:textFill>
        </w:rPr>
      </w:pPr>
    </w:p>
    <w:p w14:paraId="17D91EB1">
      <w:pPr>
        <w:spacing w:line="360" w:lineRule="auto"/>
        <w:ind w:firstLine="600" w:firstLineChars="200"/>
        <w:jc w:val="left"/>
        <w:rPr>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63E1BF5E">
      <w:pPr>
        <w:pStyle w:val="64"/>
        <w:spacing w:line="500" w:lineRule="exact"/>
        <w:rPr>
          <w:rFonts w:ascii="宋体" w:hAnsi="宋体" w:cs="宋体"/>
          <w:color w:val="000000" w:themeColor="text1"/>
          <w:sz w:val="24"/>
          <w:szCs w:val="24"/>
          <w14:textFill>
            <w14:solidFill>
              <w14:schemeClr w14:val="tx1"/>
            </w14:solidFill>
          </w14:textFill>
        </w:rPr>
      </w:pPr>
    </w:p>
    <w:p w14:paraId="6EA9A8DA">
      <w:pPr>
        <w:pStyle w:val="63"/>
        <w:spacing w:after="0" w:line="500" w:lineRule="exact"/>
        <w:rPr>
          <w:rFonts w:ascii="宋体" w:hAnsi="宋体" w:cs="宋体"/>
          <w:color w:val="000000" w:themeColor="text1"/>
          <w:sz w:val="24"/>
          <w14:textFill>
            <w14:solidFill>
              <w14:schemeClr w14:val="tx1"/>
            </w14:solidFill>
          </w14:textFill>
        </w:rPr>
      </w:pPr>
    </w:p>
    <w:p w14:paraId="70229C75">
      <w:pPr>
        <w:pStyle w:val="64"/>
        <w:spacing w:line="500" w:lineRule="exact"/>
        <w:rPr>
          <w:rFonts w:ascii="宋体" w:hAnsi="宋体" w:cs="宋体"/>
          <w:color w:val="000000" w:themeColor="text1"/>
          <w:sz w:val="24"/>
          <w:szCs w:val="24"/>
          <w14:textFill>
            <w14:solidFill>
              <w14:schemeClr w14:val="tx1"/>
            </w14:solidFill>
          </w14:textFill>
        </w:rPr>
      </w:pPr>
    </w:p>
    <w:p w14:paraId="6D39A957">
      <w:pPr>
        <w:pStyle w:val="63"/>
        <w:spacing w:after="0" w:line="500" w:lineRule="exact"/>
        <w:rPr>
          <w:rFonts w:ascii="宋体" w:hAnsi="宋体" w:cs="宋体"/>
          <w:color w:val="000000" w:themeColor="text1"/>
          <w:sz w:val="24"/>
          <w14:textFill>
            <w14:solidFill>
              <w14:schemeClr w14:val="tx1"/>
            </w14:solidFill>
          </w14:textFill>
        </w:rPr>
      </w:pPr>
    </w:p>
    <w:p w14:paraId="336BDAFA">
      <w:pPr>
        <w:pStyle w:val="64"/>
        <w:spacing w:line="500" w:lineRule="exact"/>
        <w:rPr>
          <w:rFonts w:ascii="宋体" w:hAnsi="宋体" w:cs="宋体"/>
          <w:color w:val="000000" w:themeColor="text1"/>
          <w:sz w:val="24"/>
          <w:szCs w:val="24"/>
          <w14:textFill>
            <w14:solidFill>
              <w14:schemeClr w14:val="tx1"/>
            </w14:solidFill>
          </w14:textFill>
        </w:rPr>
      </w:pPr>
    </w:p>
    <w:p w14:paraId="5A2D63CC">
      <w:pPr>
        <w:pStyle w:val="63"/>
        <w:spacing w:after="0" w:line="500" w:lineRule="exact"/>
        <w:rPr>
          <w:rFonts w:ascii="宋体" w:hAnsi="宋体" w:cs="宋体"/>
          <w:color w:val="000000" w:themeColor="text1"/>
          <w:sz w:val="24"/>
          <w14:textFill>
            <w14:solidFill>
              <w14:schemeClr w14:val="tx1"/>
            </w14:solidFill>
          </w14:textFill>
        </w:rPr>
      </w:pPr>
    </w:p>
    <w:p w14:paraId="5EFCA048">
      <w:pPr>
        <w:pStyle w:val="64"/>
        <w:spacing w:line="500" w:lineRule="exact"/>
        <w:rPr>
          <w:rFonts w:ascii="宋体" w:hAnsi="宋体" w:cs="宋体"/>
          <w:color w:val="000000" w:themeColor="text1"/>
          <w:sz w:val="24"/>
          <w:szCs w:val="24"/>
          <w14:textFill>
            <w14:solidFill>
              <w14:schemeClr w14:val="tx1"/>
            </w14:solidFill>
          </w14:textFill>
        </w:rPr>
      </w:pPr>
    </w:p>
    <w:p w14:paraId="693F9E0C">
      <w:pPr>
        <w:pStyle w:val="63"/>
        <w:spacing w:after="0" w:line="500" w:lineRule="exact"/>
        <w:rPr>
          <w:rFonts w:ascii="宋体" w:hAnsi="宋体" w:cs="宋体"/>
          <w:color w:val="000000" w:themeColor="text1"/>
          <w:sz w:val="24"/>
          <w14:textFill>
            <w14:solidFill>
              <w14:schemeClr w14:val="tx1"/>
            </w14:solidFill>
          </w14:textFill>
        </w:rPr>
      </w:pPr>
    </w:p>
    <w:p w14:paraId="1C40F215">
      <w:pPr>
        <w:pStyle w:val="64"/>
        <w:spacing w:line="500" w:lineRule="exact"/>
        <w:rPr>
          <w:rFonts w:ascii="宋体" w:hAnsi="宋体" w:cs="宋体"/>
          <w:color w:val="000000" w:themeColor="text1"/>
          <w:sz w:val="24"/>
          <w:szCs w:val="24"/>
          <w14:textFill>
            <w14:solidFill>
              <w14:schemeClr w14:val="tx1"/>
            </w14:solidFill>
          </w14:textFill>
        </w:rPr>
      </w:pPr>
    </w:p>
    <w:p w14:paraId="0943EB1E">
      <w:pPr>
        <w:pStyle w:val="63"/>
        <w:spacing w:after="0" w:line="500" w:lineRule="exact"/>
        <w:rPr>
          <w:rFonts w:ascii="宋体" w:hAnsi="宋体" w:cs="宋体"/>
          <w:color w:val="000000" w:themeColor="text1"/>
          <w:sz w:val="24"/>
          <w14:textFill>
            <w14:solidFill>
              <w14:schemeClr w14:val="tx1"/>
            </w14:solidFill>
          </w14:textFill>
        </w:rPr>
      </w:pPr>
    </w:p>
    <w:p w14:paraId="41D7F392">
      <w:pPr>
        <w:pStyle w:val="54"/>
        <w:spacing w:line="500" w:lineRule="exact"/>
        <w:jc w:val="center"/>
        <w:rPr>
          <w:rFonts w:hAnsi="宋体" w:cs="宋体"/>
          <w:b/>
          <w:color w:val="000000" w:themeColor="text1"/>
          <w:sz w:val="24"/>
          <w14:textFill>
            <w14:solidFill>
              <w14:schemeClr w14:val="tx1"/>
            </w14:solidFill>
          </w14:textFill>
        </w:rPr>
      </w:pPr>
    </w:p>
    <w:p w14:paraId="34B72410">
      <w:pPr>
        <w:spacing w:line="500" w:lineRule="exact"/>
        <w:jc w:val="left"/>
        <w:textAlignment w:val="auto"/>
        <w:rPr>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34C92CF2">
      <w:pPr>
        <w:pStyle w:val="54"/>
        <w:spacing w:line="500" w:lineRule="exact"/>
        <w:jc w:val="center"/>
        <w:rPr>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40B20202">
      <w:pPr>
        <w:pStyle w:val="54"/>
        <w:spacing w:line="500" w:lineRule="exact"/>
        <w:rPr>
          <w:rFonts w:hAnsi="宋体" w:cs="宋体"/>
          <w:b/>
          <w:color w:val="000000" w:themeColor="text1"/>
          <w:sz w:val="24"/>
          <w14:textFill>
            <w14:solidFill>
              <w14:schemeClr w14:val="tx1"/>
            </w14:solidFill>
          </w14:textFill>
        </w:rPr>
      </w:pPr>
    </w:p>
    <w:p w14:paraId="1A7683D5">
      <w:pPr>
        <w:pStyle w:val="54"/>
        <w:spacing w:line="500" w:lineRule="exact"/>
        <w:rPr>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652F5566">
      <w:pPr>
        <w:pStyle w:val="54"/>
        <w:spacing w:line="500" w:lineRule="exact"/>
        <w:rPr>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490A7D32">
      <w:pPr>
        <w:pStyle w:val="54"/>
        <w:spacing w:line="500" w:lineRule="exact"/>
        <w:rPr>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10FE3F46">
      <w:pPr>
        <w:pStyle w:val="54"/>
        <w:spacing w:line="500" w:lineRule="exact"/>
        <w:rPr>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03054B9A">
      <w:pPr>
        <w:pStyle w:val="54"/>
        <w:spacing w:line="500" w:lineRule="exact"/>
        <w:rPr>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5F01E708">
      <w:pPr>
        <w:pStyle w:val="54"/>
        <w:spacing w:line="500" w:lineRule="exact"/>
        <w:rPr>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34D30325">
      <w:pPr>
        <w:pStyle w:val="54"/>
        <w:spacing w:line="500" w:lineRule="exact"/>
        <w:rPr>
          <w:rFonts w:hAnsi="宋体" w:cs="宋体"/>
          <w:color w:val="000000" w:themeColor="text1"/>
          <w:sz w:val="24"/>
          <w14:textFill>
            <w14:solidFill>
              <w14:schemeClr w14:val="tx1"/>
            </w14:solidFill>
          </w14:textFill>
        </w:rPr>
      </w:pPr>
    </w:p>
    <w:p w14:paraId="6F808067">
      <w:pPr>
        <w:spacing w:line="500" w:lineRule="exact"/>
        <w:jc w:val="left"/>
        <w:textAlignment w:val="auto"/>
        <w:rPr>
          <w:rFonts w:ascii="宋体" w:hAnsi="宋体" w:cs="宋体"/>
          <w:b/>
          <w:color w:val="000000" w:themeColor="text1"/>
          <w:sz w:val="24"/>
          <w14:textFill>
            <w14:solidFill>
              <w14:schemeClr w14:val="tx1"/>
            </w14:solidFill>
          </w14:textFill>
        </w:rPr>
      </w:pPr>
    </w:p>
    <w:p w14:paraId="7A752E12">
      <w:pPr>
        <w:spacing w:line="500" w:lineRule="exact"/>
        <w:jc w:val="left"/>
        <w:textAlignment w:val="auto"/>
        <w:rPr>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25BB779C">
      <w:pPr>
        <w:pStyle w:val="31"/>
        <w:spacing w:before="0" w:beforeAutospacing="0" w:after="0" w:afterAutospacing="0" w:line="500" w:lineRule="exact"/>
        <w:jc w:val="center"/>
        <w:rPr>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78F2828A">
      <w:pPr>
        <w:spacing w:line="500" w:lineRule="exact"/>
        <w:rPr>
          <w:rFonts w:ascii="宋体" w:hAnsi="宋体" w:cs="宋体"/>
          <w:color w:val="000000" w:themeColor="text1"/>
          <w:sz w:val="24"/>
          <w14:textFill>
            <w14:solidFill>
              <w14:schemeClr w14:val="tx1"/>
            </w14:solidFill>
          </w14:textFill>
        </w:rPr>
      </w:pPr>
    </w:p>
    <w:p w14:paraId="43D45E12">
      <w:pPr>
        <w:spacing w:line="500" w:lineRule="exact"/>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52F7B546">
      <w:pPr>
        <w:spacing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2EC79325">
      <w:pPr>
        <w:spacing w:line="500" w:lineRule="exact"/>
        <w:ind w:firstLine="480" w:firstLineChars="200"/>
        <w:rPr>
          <w:rFonts w:ascii="宋体" w:hAnsi="宋体" w:cs="宋体"/>
          <w:color w:val="000000" w:themeColor="text1"/>
          <w:sz w:val="24"/>
          <w14:textFill>
            <w14:solidFill>
              <w14:schemeClr w14:val="tx1"/>
            </w14:solidFill>
          </w14:textFill>
        </w:rPr>
      </w:pPr>
    </w:p>
    <w:p w14:paraId="2B5AA7F0">
      <w:pPr>
        <w:pStyle w:val="84"/>
        <w:spacing w:after="0" w:line="500" w:lineRule="exact"/>
        <w:ind w:firstLine="480" w:firstLineChars="200"/>
        <w:rPr>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3EE9D8D7">
      <w:pPr>
        <w:pStyle w:val="51"/>
        <w:spacing w:beforeAutospacing="0" w:afterAutospacing="0" w:line="500" w:lineRule="exact"/>
        <w:rPr>
          <w:rFonts w:cs="宋体"/>
          <w:color w:val="000000" w:themeColor="text1"/>
          <w:sz w:val="24"/>
          <w:szCs w:val="24"/>
          <w14:textFill>
            <w14:solidFill>
              <w14:schemeClr w14:val="tx1"/>
            </w14:solidFill>
          </w14:textFill>
        </w:rPr>
      </w:pPr>
    </w:p>
    <w:p w14:paraId="59F06E96">
      <w:pPr>
        <w:spacing w:line="500" w:lineRule="exact"/>
        <w:jc w:val="left"/>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1DE3A2EB">
      <w:pPr>
        <w:tabs>
          <w:tab w:val="left" w:pos="5355"/>
        </w:tabs>
        <w:spacing w:line="500" w:lineRule="exact"/>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76A8D7DC">
      <w:pPr>
        <w:spacing w:line="500" w:lineRule="exact"/>
        <w:rPr>
          <w:rFonts w:ascii="宋体" w:hAnsi="宋体" w:cs="宋体"/>
          <w:color w:val="000000" w:themeColor="text1"/>
          <w:sz w:val="24"/>
          <w14:textFill>
            <w14:solidFill>
              <w14:schemeClr w14:val="tx1"/>
            </w14:solidFill>
          </w14:textFill>
        </w:rPr>
      </w:pPr>
    </w:p>
    <w:p w14:paraId="36909E0D">
      <w:pPr>
        <w:spacing w:line="500" w:lineRule="exact"/>
        <w:rPr>
          <w:rFonts w:ascii="宋体" w:hAnsi="宋体" w:cs="宋体"/>
          <w:color w:val="000000" w:themeColor="text1"/>
          <w:sz w:val="24"/>
          <w14:textFill>
            <w14:solidFill>
              <w14:schemeClr w14:val="tx1"/>
            </w14:solidFill>
          </w14:textFill>
        </w:rPr>
      </w:pPr>
    </w:p>
    <w:p w14:paraId="1BC5373C">
      <w:pPr>
        <w:spacing w:line="500" w:lineRule="exact"/>
        <w:rPr>
          <w:rFonts w:ascii="宋体" w:hAnsi="宋体" w:cs="宋体"/>
          <w:color w:val="000000" w:themeColor="text1"/>
          <w:sz w:val="24"/>
          <w14:textFill>
            <w14:solidFill>
              <w14:schemeClr w14:val="tx1"/>
            </w14:solidFill>
          </w14:textFill>
        </w:rPr>
      </w:pPr>
    </w:p>
    <w:p w14:paraId="09B88767">
      <w:pPr>
        <w:spacing w:line="500" w:lineRule="exact"/>
        <w:jc w:val="center"/>
        <w:rPr>
          <w:rFonts w:ascii="宋体" w:hAnsi="宋体" w:cs="宋体"/>
          <w:b/>
          <w:color w:val="000000" w:themeColor="text1"/>
          <w:sz w:val="24"/>
          <w14:textFill>
            <w14:solidFill>
              <w14:schemeClr w14:val="tx1"/>
            </w14:solidFill>
          </w14:textFill>
        </w:rPr>
      </w:pPr>
    </w:p>
    <w:p w14:paraId="389CBB5B">
      <w:pPr>
        <w:spacing w:line="500" w:lineRule="exact"/>
        <w:jc w:val="center"/>
        <w:rPr>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2D59E245">
      <w:pPr>
        <w:pStyle w:val="51"/>
        <w:spacing w:beforeAutospacing="0" w:afterAutospacing="0" w:line="500" w:lineRule="exact"/>
        <w:rPr>
          <w:rFonts w:cs="宋体"/>
          <w:color w:val="000000" w:themeColor="text1"/>
          <w:sz w:val="24"/>
          <w:szCs w:val="24"/>
          <w14:textFill>
            <w14:solidFill>
              <w14:schemeClr w14:val="tx1"/>
            </w14:solidFill>
          </w14:textFill>
        </w:rPr>
      </w:pPr>
    </w:p>
    <w:p w14:paraId="60557A03">
      <w:pPr>
        <w:spacing w:line="500" w:lineRule="exact"/>
        <w:rPr>
          <w:rFonts w:ascii="宋体" w:hAnsi="宋体" w:cs="宋体"/>
          <w:color w:val="000000" w:themeColor="text1"/>
          <w:sz w:val="24"/>
          <w14:textFill>
            <w14:solidFill>
              <w14:schemeClr w14:val="tx1"/>
            </w14:solidFill>
          </w14:textFill>
        </w:rPr>
      </w:pPr>
    </w:p>
    <w:p w14:paraId="095C9FDF">
      <w:pPr>
        <w:pStyle w:val="51"/>
        <w:spacing w:beforeAutospacing="0" w:afterAutospacing="0" w:line="500" w:lineRule="exact"/>
        <w:rPr>
          <w:rFonts w:cs="宋体"/>
          <w:color w:val="000000" w:themeColor="text1"/>
          <w:sz w:val="24"/>
          <w:szCs w:val="24"/>
          <w14:textFill>
            <w14:solidFill>
              <w14:schemeClr w14:val="tx1"/>
            </w14:solidFill>
          </w14:textFill>
        </w:rPr>
      </w:pPr>
    </w:p>
    <w:p w14:paraId="3B9D5C7B">
      <w:pPr>
        <w:spacing w:line="500" w:lineRule="exact"/>
        <w:rPr>
          <w:rFonts w:ascii="宋体" w:hAnsi="宋体" w:cs="宋体"/>
          <w:color w:val="000000" w:themeColor="text1"/>
          <w:sz w:val="24"/>
          <w14:textFill>
            <w14:solidFill>
              <w14:schemeClr w14:val="tx1"/>
            </w14:solidFill>
          </w14:textFill>
        </w:rPr>
      </w:pPr>
    </w:p>
    <w:p w14:paraId="7AFBACC3">
      <w:pPr>
        <w:pStyle w:val="51"/>
        <w:spacing w:beforeAutospacing="0" w:afterAutospacing="0" w:line="500" w:lineRule="exact"/>
        <w:rPr>
          <w:rFonts w:cs="宋体"/>
          <w:color w:val="000000" w:themeColor="text1"/>
          <w:sz w:val="24"/>
          <w:szCs w:val="24"/>
          <w14:textFill>
            <w14:solidFill>
              <w14:schemeClr w14:val="tx1"/>
            </w14:solidFill>
          </w14:textFill>
        </w:rPr>
      </w:pPr>
    </w:p>
    <w:p w14:paraId="599233F6">
      <w:pPr>
        <w:spacing w:line="500" w:lineRule="exact"/>
        <w:rPr>
          <w:rFonts w:ascii="宋体" w:hAnsi="宋体" w:cs="宋体"/>
          <w:color w:val="000000" w:themeColor="text1"/>
          <w:sz w:val="24"/>
          <w14:textFill>
            <w14:solidFill>
              <w14:schemeClr w14:val="tx1"/>
            </w14:solidFill>
          </w14:textFill>
        </w:rPr>
      </w:pPr>
    </w:p>
    <w:p w14:paraId="71E866C6">
      <w:pPr>
        <w:pStyle w:val="51"/>
        <w:spacing w:beforeAutospacing="0" w:afterAutospacing="0" w:line="500" w:lineRule="exact"/>
        <w:rPr>
          <w:rFonts w:cs="宋体"/>
          <w:color w:val="000000" w:themeColor="text1"/>
          <w:sz w:val="24"/>
          <w:szCs w:val="24"/>
          <w14:textFill>
            <w14:solidFill>
              <w14:schemeClr w14:val="tx1"/>
            </w14:solidFill>
          </w14:textFill>
        </w:rPr>
      </w:pPr>
    </w:p>
    <w:p w14:paraId="183E6A17">
      <w:pPr>
        <w:spacing w:line="500" w:lineRule="exact"/>
        <w:rPr>
          <w:rFonts w:ascii="宋体" w:hAnsi="宋体" w:cs="宋体"/>
          <w:color w:val="000000" w:themeColor="text1"/>
          <w:sz w:val="24"/>
          <w14:textFill>
            <w14:solidFill>
              <w14:schemeClr w14:val="tx1"/>
            </w14:solidFill>
          </w14:textFill>
        </w:rPr>
      </w:pPr>
    </w:p>
    <w:p w14:paraId="2583B620">
      <w:pPr>
        <w:pStyle w:val="51"/>
        <w:spacing w:beforeAutospacing="0" w:afterAutospacing="0" w:line="500" w:lineRule="exact"/>
        <w:rPr>
          <w:rFonts w:cs="宋体"/>
          <w:color w:val="000000" w:themeColor="text1"/>
          <w:sz w:val="24"/>
          <w:szCs w:val="24"/>
          <w14:textFill>
            <w14:solidFill>
              <w14:schemeClr w14:val="tx1"/>
            </w14:solidFill>
          </w14:textFill>
        </w:rPr>
      </w:pPr>
    </w:p>
    <w:p w14:paraId="72FD9A5D">
      <w:pPr>
        <w:spacing w:line="500" w:lineRule="exact"/>
        <w:rPr>
          <w:rFonts w:ascii="宋体" w:hAnsi="宋体" w:cs="宋体"/>
          <w:color w:val="000000" w:themeColor="text1"/>
          <w:sz w:val="24"/>
          <w14:textFill>
            <w14:solidFill>
              <w14:schemeClr w14:val="tx1"/>
            </w14:solidFill>
          </w14:textFill>
        </w:rPr>
      </w:pPr>
    </w:p>
    <w:p w14:paraId="54A23843">
      <w:pPr>
        <w:pStyle w:val="51"/>
        <w:spacing w:beforeAutospacing="0" w:afterAutospacing="0" w:line="500" w:lineRule="exact"/>
        <w:rPr>
          <w:rFonts w:cs="宋体"/>
          <w:color w:val="000000" w:themeColor="text1"/>
          <w:sz w:val="24"/>
          <w:szCs w:val="24"/>
          <w14:textFill>
            <w14:solidFill>
              <w14:schemeClr w14:val="tx1"/>
            </w14:solidFill>
          </w14:textFill>
        </w:rPr>
      </w:pPr>
    </w:p>
    <w:p w14:paraId="05172FD3">
      <w:pPr>
        <w:spacing w:line="500" w:lineRule="exact"/>
        <w:rPr>
          <w:rFonts w:ascii="宋体" w:hAnsi="宋体" w:cs="宋体"/>
          <w:color w:val="000000" w:themeColor="text1"/>
          <w:sz w:val="24"/>
          <w14:textFill>
            <w14:solidFill>
              <w14:schemeClr w14:val="tx1"/>
            </w14:solidFill>
          </w14:textFill>
        </w:rPr>
      </w:pPr>
    </w:p>
    <w:p w14:paraId="07CF32FB">
      <w:pPr>
        <w:pStyle w:val="31"/>
        <w:spacing w:before="0" w:beforeAutospacing="0" w:after="0" w:afterAutospacing="0" w:line="500" w:lineRule="exact"/>
        <w:jc w:val="center"/>
        <w:rPr>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64D6E740">
      <w:pPr>
        <w:spacing w:line="500" w:lineRule="exact"/>
        <w:jc w:val="center"/>
        <w:rPr>
          <w:rFonts w:asciiTheme="majorEastAsia" w:hAnsiTheme="majorEastAsia" w:eastAsiaTheme="majorEastAsia"/>
          <w:sz w:val="24"/>
        </w:rPr>
      </w:pPr>
    </w:p>
    <w:p w14:paraId="1F2E0EC3">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3B1A7EC6">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058FE9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8502C48">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76FEEF96">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6D09DFA8">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663F4D96">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43820D32">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7CAEAFB3">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5950378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398F9E04">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495312B7">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640A7087">
      <w:pPr>
        <w:spacing w:line="500" w:lineRule="exact"/>
        <w:ind w:firstLine="240" w:firstLineChars="100"/>
        <w:rPr>
          <w:rFonts w:asciiTheme="majorEastAsia" w:hAnsiTheme="majorEastAsia" w:eastAsiaTheme="majorEastAsia"/>
          <w:sz w:val="24"/>
        </w:rPr>
      </w:pPr>
    </w:p>
    <w:p w14:paraId="708A52BA">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6D1692C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657C142C">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5A34FF97">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0F12D34A">
      <w:pPr>
        <w:pStyle w:val="31"/>
        <w:spacing w:before="0" w:beforeAutospacing="0" w:after="0" w:afterAutospacing="0" w:line="500" w:lineRule="exact"/>
        <w:ind w:left="5250"/>
        <w:rPr>
          <w:rFonts w:asciiTheme="majorEastAsia" w:hAnsiTheme="majorEastAsia" w:eastAsiaTheme="majorEastAsia"/>
          <w:b/>
          <w:color w:val="000000" w:themeColor="text1"/>
          <w14:textFill>
            <w14:solidFill>
              <w14:schemeClr w14:val="tx1"/>
            </w14:solidFill>
          </w14:textFill>
        </w:rPr>
      </w:pPr>
    </w:p>
    <w:p w14:paraId="0F4BCBC1">
      <w:pPr>
        <w:pStyle w:val="31"/>
        <w:spacing w:before="0" w:beforeAutospacing="0" w:after="0" w:afterAutospacing="0" w:line="500" w:lineRule="exact"/>
        <w:jc w:val="center"/>
        <w:rPr>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6345AC5">
      <w:pPr>
        <w:jc w:val="left"/>
        <w:textAlignment w:val="auto"/>
        <w:rPr>
          <w:rFonts w:ascii="宋体" w:hAnsi="宋体" w:cs="宋体"/>
          <w:b/>
          <w:color w:val="000000" w:themeColor="text1"/>
          <w:kern w:val="0"/>
          <w:sz w:val="30"/>
          <w:szCs w:val="30"/>
          <w14:textFill>
            <w14:solidFill>
              <w14:schemeClr w14:val="tx1"/>
            </w14:solidFill>
          </w14:textFill>
        </w:rPr>
      </w:pPr>
    </w:p>
    <w:p w14:paraId="4B21D9EE">
      <w:pPr>
        <w:jc w:val="left"/>
        <w:textAlignment w:val="auto"/>
        <w:rPr>
          <w:rFonts w:ascii="宋体" w:hAnsi="宋体" w:cs="宋体"/>
          <w:b/>
          <w:color w:val="000000" w:themeColor="text1"/>
          <w:kern w:val="0"/>
          <w:sz w:val="30"/>
          <w:szCs w:val="30"/>
          <w14:textFill>
            <w14:solidFill>
              <w14:schemeClr w14:val="tx1"/>
            </w14:solidFill>
          </w14:textFill>
        </w:rPr>
      </w:pPr>
    </w:p>
    <w:p w14:paraId="4369C0BE">
      <w:pPr>
        <w:jc w:val="left"/>
        <w:textAlignment w:val="auto"/>
        <w:rPr>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30B2C0D2">
      <w:pPr>
        <w:jc w:val="center"/>
        <w:textAlignment w:val="auto"/>
        <w:rPr>
          <w:rFonts w:asciiTheme="majorEastAsia" w:hAnsiTheme="majorEastAsia" w:eastAsiaTheme="majorEastAsia"/>
          <w:b/>
          <w:kern w:val="0"/>
          <w:sz w:val="30"/>
          <w:szCs w:val="30"/>
        </w:rPr>
      </w:pPr>
      <w:r>
        <w:rPr>
          <w:rStyle w:val="23"/>
          <w:rFonts w:hint="eastAsia" w:asciiTheme="majorEastAsia" w:hAnsiTheme="majorEastAsia" w:eastAsiaTheme="majorEastAsia"/>
          <w:b/>
          <w:kern w:val="0"/>
          <w:sz w:val="30"/>
          <w:szCs w:val="30"/>
        </w:rPr>
        <w:t>4.参加采购活动前3年内无重大违法不良信用记录</w:t>
      </w:r>
    </w:p>
    <w:p w14:paraId="582A408E">
      <w:pPr>
        <w:wordWrap w:val="0"/>
        <w:spacing w:line="500" w:lineRule="exact"/>
        <w:ind w:firstLine="480" w:firstLineChars="200"/>
        <w:jc w:val="left"/>
        <w:textAlignment w:val="auto"/>
        <w:rPr>
          <w:rFonts w:ascii="宋体" w:hAnsi="宋体" w:cs="宋体"/>
          <w:kern w:val="0"/>
          <w:sz w:val="24"/>
        </w:rPr>
      </w:pPr>
      <w:r>
        <w:rPr>
          <w:rStyle w:val="23"/>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3"/>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7"/>
          <w:rFonts w:hint="eastAsia" w:ascii="宋体" w:hAnsi="宋体"/>
          <w:color w:val="auto"/>
          <w:sz w:val="24"/>
          <w:u w:val="none"/>
        </w:rPr>
        <w:t>www.ccgp.gov.cn</w:t>
      </w:r>
      <w:r>
        <w:rPr>
          <w:rStyle w:val="27"/>
          <w:rFonts w:hint="eastAsia" w:ascii="宋体" w:hAnsi="宋体"/>
          <w:color w:val="auto"/>
          <w:sz w:val="24"/>
          <w:u w:val="none"/>
        </w:rPr>
        <w:fldChar w:fldCharType="end"/>
      </w:r>
      <w:r>
        <w:rPr>
          <w:rFonts w:hint="eastAsia" w:ascii="宋体" w:hAnsi="宋体"/>
          <w:sz w:val="24"/>
        </w:rPr>
        <w:t>)查询的信用记录；</w:t>
      </w:r>
    </w:p>
    <w:p w14:paraId="3298A3CF">
      <w:pPr>
        <w:spacing w:line="500" w:lineRule="exact"/>
        <w:ind w:firstLine="480" w:firstLineChars="200"/>
        <w:jc w:val="left"/>
        <w:textAlignment w:val="auto"/>
        <w:rPr>
          <w:rFonts w:ascii="宋体" w:hAnsi="宋体" w:cs="宋体"/>
          <w:color w:val="000000" w:themeColor="text1"/>
          <w:kern w:val="0"/>
          <w:sz w:val="24"/>
          <w14:textFill>
            <w14:solidFill>
              <w14:schemeClr w14:val="tx1"/>
            </w14:solidFill>
          </w14:textFill>
        </w:rPr>
      </w:pPr>
    </w:p>
    <w:p w14:paraId="0E11A329">
      <w:pPr>
        <w:jc w:val="left"/>
        <w:textAlignment w:val="auto"/>
        <w:rPr>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0E4AA49D">
      <w:pPr>
        <w:jc w:val="center"/>
        <w:textAlignment w:val="auto"/>
        <w:rPr>
          <w:rFonts w:cs="Times New Roman" w:asciiTheme="majorEastAsia" w:hAnsiTheme="majorEastAsia" w:eastAsiaTheme="majorEastAsia"/>
          <w:b/>
          <w:kern w:val="0"/>
          <w:sz w:val="30"/>
          <w:szCs w:val="30"/>
        </w:rPr>
      </w:pPr>
      <w:r>
        <w:rPr>
          <w:rStyle w:val="23"/>
          <w:rFonts w:hint="eastAsia" w:cs="Times New Roman" w:asciiTheme="majorEastAsia" w:hAnsiTheme="majorEastAsia" w:eastAsiaTheme="majorEastAsia"/>
          <w:b/>
          <w:kern w:val="0"/>
          <w:sz w:val="30"/>
          <w:szCs w:val="30"/>
        </w:rPr>
        <w:t>5.具备履行合同所必需的设备和专业技术能力的承诺</w:t>
      </w:r>
    </w:p>
    <w:p w14:paraId="5C8FE04C">
      <w:pPr>
        <w:rPr>
          <w:rFonts w:hAnsi="宋体" w:cs="宋体"/>
          <w:b/>
          <w:color w:val="000000" w:themeColor="text1"/>
          <w:sz w:val="30"/>
          <w:szCs w:val="30"/>
          <w14:textFill>
            <w14:solidFill>
              <w14:schemeClr w14:val="tx1"/>
            </w14:solidFill>
          </w14:textFill>
        </w:rPr>
      </w:pPr>
    </w:p>
    <w:p w14:paraId="485D5A09">
      <w:pPr>
        <w:pStyle w:val="7"/>
        <w:rPr>
          <w:rFonts w:hAnsi="宋体" w:cs="宋体"/>
          <w:b/>
          <w:color w:val="000000" w:themeColor="text1"/>
          <w:sz w:val="30"/>
          <w:szCs w:val="30"/>
          <w14:textFill>
            <w14:solidFill>
              <w14:schemeClr w14:val="tx1"/>
            </w14:solidFill>
          </w14:textFill>
        </w:rPr>
      </w:pPr>
    </w:p>
    <w:p w14:paraId="05BCB659">
      <w:pPr>
        <w:rPr>
          <w:rFonts w:hAnsi="宋体" w:cs="宋体"/>
          <w:b/>
          <w:color w:val="000000" w:themeColor="text1"/>
          <w:sz w:val="30"/>
          <w:szCs w:val="30"/>
          <w14:textFill>
            <w14:solidFill>
              <w14:schemeClr w14:val="tx1"/>
            </w14:solidFill>
          </w14:textFill>
        </w:rPr>
      </w:pPr>
    </w:p>
    <w:p w14:paraId="15A0ED87">
      <w:pPr>
        <w:pStyle w:val="7"/>
        <w:rPr>
          <w:rFonts w:hAnsi="宋体" w:cs="宋体"/>
          <w:b/>
          <w:color w:val="000000" w:themeColor="text1"/>
          <w:sz w:val="30"/>
          <w:szCs w:val="30"/>
          <w14:textFill>
            <w14:solidFill>
              <w14:schemeClr w14:val="tx1"/>
            </w14:solidFill>
          </w14:textFill>
        </w:rPr>
      </w:pPr>
    </w:p>
    <w:p w14:paraId="3361F1FA">
      <w:pPr>
        <w:rPr>
          <w:rFonts w:hAnsi="宋体" w:cs="宋体"/>
          <w:b/>
          <w:color w:val="000000" w:themeColor="text1"/>
          <w:sz w:val="30"/>
          <w:szCs w:val="30"/>
          <w14:textFill>
            <w14:solidFill>
              <w14:schemeClr w14:val="tx1"/>
            </w14:solidFill>
          </w14:textFill>
        </w:rPr>
      </w:pPr>
    </w:p>
    <w:p w14:paraId="05FD6C0B">
      <w:pPr>
        <w:pStyle w:val="7"/>
        <w:rPr>
          <w:rFonts w:hAnsi="宋体" w:cs="宋体"/>
          <w:b/>
          <w:color w:val="000000" w:themeColor="text1"/>
          <w:sz w:val="30"/>
          <w:szCs w:val="30"/>
          <w14:textFill>
            <w14:solidFill>
              <w14:schemeClr w14:val="tx1"/>
            </w14:solidFill>
          </w14:textFill>
        </w:rPr>
      </w:pPr>
    </w:p>
    <w:p w14:paraId="14018105">
      <w:pPr>
        <w:rPr>
          <w:rFonts w:hAnsi="宋体" w:cs="宋体"/>
          <w:b/>
          <w:color w:val="000000" w:themeColor="text1"/>
          <w:sz w:val="30"/>
          <w:szCs w:val="30"/>
          <w14:textFill>
            <w14:solidFill>
              <w14:schemeClr w14:val="tx1"/>
            </w14:solidFill>
          </w14:textFill>
        </w:rPr>
      </w:pPr>
    </w:p>
    <w:p w14:paraId="22A7E7E5">
      <w:pPr>
        <w:pStyle w:val="7"/>
        <w:rPr>
          <w:rFonts w:hAnsi="宋体" w:cs="宋体"/>
          <w:b/>
          <w:color w:val="000000" w:themeColor="text1"/>
          <w:sz w:val="30"/>
          <w:szCs w:val="30"/>
          <w14:textFill>
            <w14:solidFill>
              <w14:schemeClr w14:val="tx1"/>
            </w14:solidFill>
          </w14:textFill>
        </w:rPr>
      </w:pPr>
    </w:p>
    <w:p w14:paraId="23C7929E">
      <w:pPr>
        <w:rPr>
          <w:rFonts w:hAnsi="宋体" w:cs="宋体"/>
          <w:b/>
          <w:color w:val="000000" w:themeColor="text1"/>
          <w:sz w:val="30"/>
          <w:szCs w:val="30"/>
          <w14:textFill>
            <w14:solidFill>
              <w14:schemeClr w14:val="tx1"/>
            </w14:solidFill>
          </w14:textFill>
        </w:rPr>
      </w:pPr>
    </w:p>
    <w:p w14:paraId="425D5F16">
      <w:pPr>
        <w:pStyle w:val="7"/>
        <w:rPr>
          <w:rFonts w:hAnsi="宋体" w:cs="宋体"/>
          <w:b/>
          <w:color w:val="000000" w:themeColor="text1"/>
          <w:sz w:val="30"/>
          <w:szCs w:val="30"/>
          <w14:textFill>
            <w14:solidFill>
              <w14:schemeClr w14:val="tx1"/>
            </w14:solidFill>
          </w14:textFill>
        </w:rPr>
      </w:pPr>
    </w:p>
    <w:p w14:paraId="6C41A008">
      <w:pPr>
        <w:rPr>
          <w:rFonts w:hAnsi="宋体" w:cs="宋体"/>
          <w:b/>
          <w:color w:val="000000" w:themeColor="text1"/>
          <w:sz w:val="30"/>
          <w:szCs w:val="30"/>
          <w14:textFill>
            <w14:solidFill>
              <w14:schemeClr w14:val="tx1"/>
            </w14:solidFill>
          </w14:textFill>
        </w:rPr>
      </w:pPr>
    </w:p>
    <w:p w14:paraId="1523EE31">
      <w:pPr>
        <w:pStyle w:val="7"/>
        <w:rPr>
          <w:rFonts w:hAnsi="宋体" w:cs="宋体"/>
          <w:b/>
          <w:color w:val="000000" w:themeColor="text1"/>
          <w:sz w:val="30"/>
          <w:szCs w:val="30"/>
          <w14:textFill>
            <w14:solidFill>
              <w14:schemeClr w14:val="tx1"/>
            </w14:solidFill>
          </w14:textFill>
        </w:rPr>
      </w:pPr>
    </w:p>
    <w:p w14:paraId="4DCE570E">
      <w:pPr>
        <w:rPr>
          <w:rFonts w:hAnsi="宋体" w:cs="宋体"/>
          <w:b/>
          <w:color w:val="000000" w:themeColor="text1"/>
          <w:sz w:val="30"/>
          <w:szCs w:val="30"/>
          <w14:textFill>
            <w14:solidFill>
              <w14:schemeClr w14:val="tx1"/>
            </w14:solidFill>
          </w14:textFill>
        </w:rPr>
      </w:pPr>
    </w:p>
    <w:p w14:paraId="4E92A0E6">
      <w:pPr>
        <w:pStyle w:val="7"/>
        <w:rPr>
          <w:rFonts w:hAnsi="宋体" w:cs="宋体"/>
          <w:b/>
          <w:color w:val="000000" w:themeColor="text1"/>
          <w:sz w:val="30"/>
          <w:szCs w:val="30"/>
          <w14:textFill>
            <w14:solidFill>
              <w14:schemeClr w14:val="tx1"/>
            </w14:solidFill>
          </w14:textFill>
        </w:rPr>
      </w:pPr>
    </w:p>
    <w:p w14:paraId="7F3271E7">
      <w:pPr>
        <w:rPr>
          <w:rFonts w:hAnsi="宋体" w:cs="宋体"/>
          <w:b/>
          <w:color w:val="000000" w:themeColor="text1"/>
          <w:sz w:val="30"/>
          <w:szCs w:val="30"/>
          <w14:textFill>
            <w14:solidFill>
              <w14:schemeClr w14:val="tx1"/>
            </w14:solidFill>
          </w14:textFill>
        </w:rPr>
      </w:pPr>
    </w:p>
    <w:p w14:paraId="37D47ED2">
      <w:pPr>
        <w:pStyle w:val="7"/>
      </w:pPr>
    </w:p>
    <w:p w14:paraId="7C7ECC9A"/>
    <w:p w14:paraId="4E0ECC6A">
      <w:pPr>
        <w:pStyle w:val="7"/>
      </w:pPr>
    </w:p>
    <w:p w14:paraId="27A0182C"/>
    <w:p w14:paraId="1DFCEB8F">
      <w:pPr>
        <w:pStyle w:val="7"/>
      </w:pPr>
    </w:p>
    <w:p w14:paraId="3F338386"/>
    <w:p w14:paraId="4BBE2332">
      <w:pPr>
        <w:pStyle w:val="7"/>
      </w:pPr>
    </w:p>
    <w:p w14:paraId="0DE5A3D4"/>
    <w:p w14:paraId="57B63CFE">
      <w:pPr>
        <w:pStyle w:val="7"/>
      </w:pPr>
    </w:p>
    <w:p w14:paraId="4DCF33E2"/>
    <w:p w14:paraId="17765042">
      <w:pPr>
        <w:pStyle w:val="38"/>
        <w:spacing w:line="500" w:lineRule="exact"/>
        <w:ind w:firstLine="450" w:firstLineChars="150"/>
        <w:jc w:val="center"/>
        <w:rPr>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6.技术商务响应一览表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0"/>
        <w:gridCol w:w="3414"/>
        <w:gridCol w:w="1829"/>
      </w:tblGrid>
      <w:tr w14:paraId="72886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85" w:type="dxa"/>
            <w:tcBorders>
              <w:top w:val="single" w:color="000000" w:sz="4" w:space="0"/>
              <w:left w:val="single" w:color="000000" w:sz="4" w:space="0"/>
              <w:bottom w:val="single" w:color="000000" w:sz="4" w:space="0"/>
              <w:right w:val="single" w:color="000000" w:sz="4" w:space="0"/>
            </w:tcBorders>
            <w:vAlign w:val="center"/>
          </w:tcPr>
          <w:p w14:paraId="2B74E993">
            <w:pPr>
              <w:spacing w:line="500" w:lineRule="exact"/>
              <w:jc w:val="center"/>
              <w:rPr>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3502" w:type="dxa"/>
            <w:tcBorders>
              <w:top w:val="single" w:color="000000" w:sz="4" w:space="0"/>
              <w:left w:val="single" w:color="000000" w:sz="4" w:space="0"/>
              <w:bottom w:val="single" w:color="000000" w:sz="4" w:space="0"/>
              <w:right w:val="single" w:color="000000" w:sz="4" w:space="0"/>
            </w:tcBorders>
            <w:vAlign w:val="center"/>
          </w:tcPr>
          <w:p w14:paraId="2D170A51">
            <w:pPr>
              <w:spacing w:line="500" w:lineRule="exact"/>
              <w:jc w:val="center"/>
              <w:rPr>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3416" w:type="dxa"/>
            <w:tcBorders>
              <w:top w:val="single" w:color="000000" w:sz="4" w:space="0"/>
              <w:left w:val="single" w:color="000000" w:sz="4" w:space="0"/>
              <w:bottom w:val="single" w:color="000000" w:sz="4" w:space="0"/>
              <w:right w:val="single" w:color="000000" w:sz="4" w:space="0"/>
            </w:tcBorders>
            <w:vAlign w:val="center"/>
          </w:tcPr>
          <w:p w14:paraId="2DEFCFE4">
            <w:pPr>
              <w:spacing w:line="500" w:lineRule="exact"/>
              <w:jc w:val="center"/>
              <w:rPr>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1830" w:type="dxa"/>
            <w:tcBorders>
              <w:top w:val="single" w:color="000000" w:sz="4" w:space="0"/>
              <w:left w:val="single" w:color="000000" w:sz="4" w:space="0"/>
              <w:bottom w:val="single" w:color="000000" w:sz="4" w:space="0"/>
              <w:right w:val="single" w:color="000000" w:sz="4" w:space="0"/>
            </w:tcBorders>
            <w:vAlign w:val="center"/>
          </w:tcPr>
          <w:p w14:paraId="410FC3A9">
            <w:pPr>
              <w:spacing w:line="500" w:lineRule="exact"/>
              <w:jc w:val="center"/>
              <w:rPr>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39AD5166">
            <w:pPr>
              <w:spacing w:line="500" w:lineRule="exact"/>
              <w:jc w:val="center"/>
              <w:rPr>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569BD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985" w:type="dxa"/>
            <w:tcBorders>
              <w:top w:val="single" w:color="000000" w:sz="4" w:space="0"/>
              <w:left w:val="single" w:color="000000" w:sz="4" w:space="0"/>
              <w:bottom w:val="single" w:color="000000" w:sz="4" w:space="0"/>
              <w:right w:val="single" w:color="000000" w:sz="4" w:space="0"/>
            </w:tcBorders>
            <w:vAlign w:val="center"/>
          </w:tcPr>
          <w:p w14:paraId="1D008919">
            <w:pPr>
              <w:tabs>
                <w:tab w:val="left" w:pos="341"/>
              </w:tabs>
              <w:spacing w:line="500" w:lineRule="exact"/>
              <w:jc w:val="left"/>
              <w:rPr>
                <w:rFonts w:ascii="宋体" w:hAnsi="宋体" w:cs="宋体"/>
                <w:b/>
                <w:color w:val="000000" w:themeColor="text1"/>
                <w:sz w:val="24"/>
                <w14:textFill>
                  <w14:solidFill>
                    <w14:schemeClr w14:val="tx1"/>
                  </w14:solidFill>
                </w14:textFill>
              </w:rPr>
            </w:pPr>
          </w:p>
        </w:tc>
        <w:tc>
          <w:tcPr>
            <w:tcW w:w="3502" w:type="dxa"/>
            <w:tcBorders>
              <w:top w:val="single" w:color="000000" w:sz="4" w:space="0"/>
              <w:left w:val="single" w:color="000000" w:sz="4" w:space="0"/>
              <w:bottom w:val="single" w:color="000000" w:sz="4" w:space="0"/>
              <w:right w:val="single" w:color="000000" w:sz="4" w:space="0"/>
            </w:tcBorders>
            <w:vAlign w:val="center"/>
          </w:tcPr>
          <w:p w14:paraId="53CB20B7">
            <w:pPr>
              <w:spacing w:line="500" w:lineRule="exact"/>
              <w:jc w:val="center"/>
              <w:rPr>
                <w:rFonts w:ascii="宋体" w:hAnsi="宋体" w:cs="宋体"/>
                <w:color w:val="000000" w:themeColor="text1"/>
                <w:sz w:val="24"/>
                <w14:textFill>
                  <w14:solidFill>
                    <w14:schemeClr w14:val="tx1"/>
                  </w14:solidFill>
                </w14:textFill>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6F7FC1AC">
            <w:pPr>
              <w:spacing w:line="500" w:lineRule="exact"/>
              <w:jc w:val="center"/>
              <w:rPr>
                <w:rFonts w:ascii="宋体" w:hAnsi="宋体" w:cs="宋体"/>
                <w:color w:val="000000" w:themeColor="text1"/>
                <w:sz w:val="24"/>
                <w14:textFill>
                  <w14:solidFill>
                    <w14:schemeClr w14:val="tx1"/>
                  </w14:solidFill>
                </w14:textFill>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0FD41507">
            <w:pPr>
              <w:spacing w:line="500" w:lineRule="exact"/>
              <w:jc w:val="center"/>
              <w:rPr>
                <w:rFonts w:ascii="宋体" w:hAnsi="宋体" w:cs="宋体"/>
                <w:color w:val="000000" w:themeColor="text1"/>
                <w:sz w:val="24"/>
                <w14:textFill>
                  <w14:solidFill>
                    <w14:schemeClr w14:val="tx1"/>
                  </w14:solidFill>
                </w14:textFill>
              </w:rPr>
            </w:pPr>
          </w:p>
        </w:tc>
      </w:tr>
      <w:tr w14:paraId="112E4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985" w:type="dxa"/>
            <w:tcBorders>
              <w:top w:val="single" w:color="000000" w:sz="4" w:space="0"/>
              <w:left w:val="single" w:color="000000" w:sz="4" w:space="0"/>
              <w:bottom w:val="single" w:color="000000" w:sz="4" w:space="0"/>
              <w:right w:val="single" w:color="000000" w:sz="4" w:space="0"/>
            </w:tcBorders>
            <w:vAlign w:val="center"/>
          </w:tcPr>
          <w:p w14:paraId="4BE6DA04">
            <w:pPr>
              <w:spacing w:line="500" w:lineRule="exact"/>
              <w:jc w:val="center"/>
              <w:rPr>
                <w:rFonts w:ascii="宋体" w:hAnsi="宋体" w:cs="宋体"/>
                <w:color w:val="000000" w:themeColor="text1"/>
                <w:sz w:val="24"/>
                <w14:textFill>
                  <w14:solidFill>
                    <w14:schemeClr w14:val="tx1"/>
                  </w14:solidFill>
                </w14:textFill>
              </w:rPr>
            </w:pPr>
          </w:p>
        </w:tc>
        <w:tc>
          <w:tcPr>
            <w:tcW w:w="3502" w:type="dxa"/>
            <w:tcBorders>
              <w:top w:val="single" w:color="000000" w:sz="4" w:space="0"/>
              <w:left w:val="single" w:color="000000" w:sz="4" w:space="0"/>
              <w:bottom w:val="single" w:color="000000" w:sz="4" w:space="0"/>
              <w:right w:val="single" w:color="000000" w:sz="4" w:space="0"/>
            </w:tcBorders>
          </w:tcPr>
          <w:p w14:paraId="1A26378E">
            <w:pPr>
              <w:spacing w:line="500" w:lineRule="exact"/>
              <w:rPr>
                <w:rFonts w:ascii="宋体" w:hAnsi="宋体" w:cs="宋体"/>
                <w:color w:val="000000" w:themeColor="text1"/>
                <w:sz w:val="24"/>
                <w14:textFill>
                  <w14:solidFill>
                    <w14:schemeClr w14:val="tx1"/>
                  </w14:solidFill>
                </w14:textFill>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2F2D6086">
            <w:pPr>
              <w:spacing w:line="500" w:lineRule="exact"/>
              <w:jc w:val="center"/>
              <w:rPr>
                <w:rFonts w:ascii="宋体" w:hAnsi="宋体" w:cs="宋体"/>
                <w:color w:val="000000" w:themeColor="text1"/>
                <w:sz w:val="24"/>
                <w14:textFill>
                  <w14:solidFill>
                    <w14:schemeClr w14:val="tx1"/>
                  </w14:solidFill>
                </w14:textFill>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47162CC7">
            <w:pPr>
              <w:spacing w:line="500" w:lineRule="exact"/>
              <w:jc w:val="center"/>
              <w:rPr>
                <w:rFonts w:ascii="宋体" w:hAnsi="宋体" w:cs="宋体"/>
                <w:color w:val="000000" w:themeColor="text1"/>
                <w:sz w:val="24"/>
                <w14:textFill>
                  <w14:solidFill>
                    <w14:schemeClr w14:val="tx1"/>
                  </w14:solidFill>
                </w14:textFill>
              </w:rPr>
            </w:pPr>
          </w:p>
        </w:tc>
      </w:tr>
      <w:tr w14:paraId="53E90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985" w:type="dxa"/>
            <w:tcBorders>
              <w:top w:val="single" w:color="000000" w:sz="4" w:space="0"/>
              <w:left w:val="single" w:color="000000" w:sz="4" w:space="0"/>
              <w:bottom w:val="single" w:color="000000" w:sz="4" w:space="0"/>
              <w:right w:val="single" w:color="000000" w:sz="4" w:space="0"/>
            </w:tcBorders>
            <w:vAlign w:val="center"/>
          </w:tcPr>
          <w:p w14:paraId="00BF710F">
            <w:pPr>
              <w:spacing w:line="500" w:lineRule="exact"/>
              <w:jc w:val="center"/>
              <w:rPr>
                <w:rFonts w:ascii="宋体" w:hAnsi="宋体" w:cs="宋体"/>
                <w:color w:val="000000" w:themeColor="text1"/>
                <w:sz w:val="24"/>
                <w14:textFill>
                  <w14:solidFill>
                    <w14:schemeClr w14:val="tx1"/>
                  </w14:solidFill>
                </w14:textFill>
              </w:rPr>
            </w:pPr>
          </w:p>
        </w:tc>
        <w:tc>
          <w:tcPr>
            <w:tcW w:w="3502" w:type="dxa"/>
            <w:tcBorders>
              <w:top w:val="single" w:color="000000" w:sz="4" w:space="0"/>
              <w:left w:val="single" w:color="000000" w:sz="4" w:space="0"/>
              <w:bottom w:val="single" w:color="000000" w:sz="4" w:space="0"/>
              <w:right w:val="single" w:color="000000" w:sz="4" w:space="0"/>
            </w:tcBorders>
          </w:tcPr>
          <w:p w14:paraId="71B61492">
            <w:pPr>
              <w:spacing w:line="500" w:lineRule="exact"/>
              <w:rPr>
                <w:rFonts w:ascii="宋体" w:hAnsi="宋体" w:cs="宋体"/>
                <w:color w:val="000000" w:themeColor="text1"/>
                <w:sz w:val="24"/>
                <w14:textFill>
                  <w14:solidFill>
                    <w14:schemeClr w14:val="tx1"/>
                  </w14:solidFill>
                </w14:textFill>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7DDF2C9D">
            <w:pPr>
              <w:spacing w:line="500" w:lineRule="exact"/>
              <w:jc w:val="center"/>
              <w:rPr>
                <w:rFonts w:ascii="宋体" w:hAnsi="宋体" w:cs="宋体"/>
                <w:color w:val="000000" w:themeColor="text1"/>
                <w:sz w:val="24"/>
                <w14:textFill>
                  <w14:solidFill>
                    <w14:schemeClr w14:val="tx1"/>
                  </w14:solidFill>
                </w14:textFill>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6A6458F4">
            <w:pPr>
              <w:spacing w:line="500" w:lineRule="exact"/>
              <w:jc w:val="center"/>
              <w:rPr>
                <w:rFonts w:ascii="宋体" w:hAnsi="宋体" w:cs="宋体"/>
                <w:color w:val="000000" w:themeColor="text1"/>
                <w:sz w:val="24"/>
                <w14:textFill>
                  <w14:solidFill>
                    <w14:schemeClr w14:val="tx1"/>
                  </w14:solidFill>
                </w14:textFill>
              </w:rPr>
            </w:pPr>
          </w:p>
        </w:tc>
      </w:tr>
      <w:tr w14:paraId="4F95D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985" w:type="dxa"/>
            <w:tcBorders>
              <w:top w:val="single" w:color="000000" w:sz="4" w:space="0"/>
              <w:left w:val="single" w:color="000000" w:sz="4" w:space="0"/>
              <w:bottom w:val="single" w:color="000000" w:sz="4" w:space="0"/>
              <w:right w:val="single" w:color="000000" w:sz="4" w:space="0"/>
            </w:tcBorders>
            <w:vAlign w:val="center"/>
          </w:tcPr>
          <w:p w14:paraId="632F89E4">
            <w:pPr>
              <w:spacing w:line="500" w:lineRule="exact"/>
              <w:jc w:val="left"/>
              <w:textAlignment w:val="center"/>
              <w:rPr>
                <w:rFonts w:ascii="宋体" w:hAnsi="宋体" w:cs="宋体"/>
                <w:color w:val="000000" w:themeColor="text1"/>
                <w:sz w:val="24"/>
                <w14:textFill>
                  <w14:solidFill>
                    <w14:schemeClr w14:val="tx1"/>
                  </w14:solidFill>
                </w14:textFill>
              </w:rPr>
            </w:pPr>
          </w:p>
        </w:tc>
        <w:tc>
          <w:tcPr>
            <w:tcW w:w="3502" w:type="dxa"/>
            <w:tcBorders>
              <w:top w:val="single" w:color="000000" w:sz="4" w:space="0"/>
              <w:left w:val="single" w:color="000000" w:sz="4" w:space="0"/>
              <w:bottom w:val="single" w:color="000000" w:sz="4" w:space="0"/>
              <w:right w:val="single" w:color="000000" w:sz="4" w:space="0"/>
            </w:tcBorders>
          </w:tcPr>
          <w:p w14:paraId="7315A059">
            <w:pPr>
              <w:spacing w:line="500" w:lineRule="exact"/>
              <w:rPr>
                <w:rFonts w:ascii="宋体" w:hAnsi="宋体" w:cs="宋体"/>
                <w:color w:val="000000" w:themeColor="text1"/>
                <w:sz w:val="24"/>
                <w14:textFill>
                  <w14:solidFill>
                    <w14:schemeClr w14:val="tx1"/>
                  </w14:solidFill>
                </w14:textFill>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25010F7C">
            <w:pPr>
              <w:spacing w:line="500" w:lineRule="exact"/>
              <w:jc w:val="center"/>
              <w:rPr>
                <w:rFonts w:ascii="宋体" w:hAnsi="宋体" w:cs="宋体"/>
                <w:color w:val="000000" w:themeColor="text1"/>
                <w:sz w:val="24"/>
                <w14:textFill>
                  <w14:solidFill>
                    <w14:schemeClr w14:val="tx1"/>
                  </w14:solidFill>
                </w14:textFill>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43670D4B">
            <w:pPr>
              <w:spacing w:line="500" w:lineRule="exact"/>
              <w:jc w:val="center"/>
              <w:rPr>
                <w:rFonts w:ascii="宋体" w:hAnsi="宋体" w:cs="宋体"/>
                <w:color w:val="000000" w:themeColor="text1"/>
                <w:sz w:val="24"/>
                <w14:textFill>
                  <w14:solidFill>
                    <w14:schemeClr w14:val="tx1"/>
                  </w14:solidFill>
                </w14:textFill>
              </w:rPr>
            </w:pPr>
          </w:p>
        </w:tc>
      </w:tr>
      <w:tr w14:paraId="641BE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985" w:type="dxa"/>
            <w:tcBorders>
              <w:top w:val="single" w:color="000000" w:sz="4" w:space="0"/>
              <w:left w:val="single" w:color="000000" w:sz="4" w:space="0"/>
              <w:bottom w:val="single" w:color="000000" w:sz="4" w:space="0"/>
              <w:right w:val="single" w:color="000000" w:sz="4" w:space="0"/>
            </w:tcBorders>
            <w:vAlign w:val="center"/>
          </w:tcPr>
          <w:p w14:paraId="3BF89CD2">
            <w:pPr>
              <w:spacing w:line="500" w:lineRule="exact"/>
              <w:jc w:val="center"/>
              <w:rPr>
                <w:rFonts w:ascii="宋体" w:hAnsi="宋体" w:cs="宋体"/>
                <w:color w:val="000000" w:themeColor="text1"/>
                <w:sz w:val="24"/>
                <w14:textFill>
                  <w14:solidFill>
                    <w14:schemeClr w14:val="tx1"/>
                  </w14:solidFill>
                </w14:textFill>
              </w:rPr>
            </w:pPr>
          </w:p>
        </w:tc>
        <w:tc>
          <w:tcPr>
            <w:tcW w:w="3502" w:type="dxa"/>
            <w:tcBorders>
              <w:top w:val="single" w:color="000000" w:sz="4" w:space="0"/>
              <w:left w:val="single" w:color="000000" w:sz="4" w:space="0"/>
              <w:bottom w:val="single" w:color="000000" w:sz="4" w:space="0"/>
              <w:right w:val="single" w:color="000000" w:sz="4" w:space="0"/>
            </w:tcBorders>
          </w:tcPr>
          <w:p w14:paraId="34DDB7CF">
            <w:pPr>
              <w:spacing w:line="500" w:lineRule="exact"/>
              <w:rPr>
                <w:rFonts w:ascii="宋体" w:hAnsi="宋体" w:cs="宋体"/>
                <w:color w:val="000000" w:themeColor="text1"/>
                <w:sz w:val="24"/>
                <w14:textFill>
                  <w14:solidFill>
                    <w14:schemeClr w14:val="tx1"/>
                  </w14:solidFill>
                </w14:textFill>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0DBF4E5A">
            <w:pPr>
              <w:spacing w:line="500" w:lineRule="exact"/>
              <w:jc w:val="center"/>
              <w:rPr>
                <w:rFonts w:ascii="宋体" w:hAnsi="宋体" w:cs="宋体"/>
                <w:color w:val="000000" w:themeColor="text1"/>
                <w:sz w:val="24"/>
                <w14:textFill>
                  <w14:solidFill>
                    <w14:schemeClr w14:val="tx1"/>
                  </w14:solidFill>
                </w14:textFill>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21AFC882">
            <w:pPr>
              <w:spacing w:line="500" w:lineRule="exact"/>
              <w:jc w:val="center"/>
              <w:rPr>
                <w:rFonts w:ascii="宋体" w:hAnsi="宋体" w:cs="宋体"/>
                <w:color w:val="000000" w:themeColor="text1"/>
                <w:sz w:val="24"/>
                <w14:textFill>
                  <w14:solidFill>
                    <w14:schemeClr w14:val="tx1"/>
                  </w14:solidFill>
                </w14:textFill>
              </w:rPr>
            </w:pPr>
          </w:p>
        </w:tc>
      </w:tr>
      <w:tr w14:paraId="78966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985" w:type="dxa"/>
            <w:tcBorders>
              <w:top w:val="single" w:color="000000" w:sz="4" w:space="0"/>
              <w:left w:val="single" w:color="000000" w:sz="4" w:space="0"/>
              <w:bottom w:val="single" w:color="000000" w:sz="4" w:space="0"/>
              <w:right w:val="single" w:color="000000" w:sz="4" w:space="0"/>
            </w:tcBorders>
            <w:vAlign w:val="center"/>
          </w:tcPr>
          <w:p w14:paraId="6B7D36CC">
            <w:pPr>
              <w:spacing w:line="500" w:lineRule="exact"/>
              <w:jc w:val="center"/>
              <w:rPr>
                <w:rFonts w:ascii="宋体" w:hAnsi="宋体" w:cs="宋体"/>
                <w:color w:val="000000" w:themeColor="text1"/>
                <w:kern w:val="0"/>
                <w:sz w:val="24"/>
                <w14:textFill>
                  <w14:solidFill>
                    <w14:schemeClr w14:val="tx1"/>
                  </w14:solidFill>
                </w14:textFill>
              </w:rPr>
            </w:pPr>
          </w:p>
        </w:tc>
        <w:tc>
          <w:tcPr>
            <w:tcW w:w="3502" w:type="dxa"/>
            <w:tcBorders>
              <w:top w:val="single" w:color="000000" w:sz="4" w:space="0"/>
              <w:left w:val="single" w:color="000000" w:sz="4" w:space="0"/>
              <w:bottom w:val="single" w:color="000000" w:sz="4" w:space="0"/>
              <w:right w:val="single" w:color="000000" w:sz="4" w:space="0"/>
            </w:tcBorders>
          </w:tcPr>
          <w:p w14:paraId="553CEB9F">
            <w:pPr>
              <w:spacing w:line="500" w:lineRule="exact"/>
              <w:rPr>
                <w:rFonts w:ascii="宋体" w:hAnsi="宋体" w:cs="宋体"/>
                <w:color w:val="000000" w:themeColor="text1"/>
                <w:sz w:val="24"/>
                <w14:textFill>
                  <w14:solidFill>
                    <w14:schemeClr w14:val="tx1"/>
                  </w14:solidFill>
                </w14:textFill>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1A1769C2">
            <w:pPr>
              <w:spacing w:line="500" w:lineRule="exact"/>
              <w:jc w:val="center"/>
              <w:rPr>
                <w:rFonts w:ascii="宋体" w:hAnsi="宋体" w:cs="宋体"/>
                <w:color w:val="000000" w:themeColor="text1"/>
                <w:sz w:val="24"/>
                <w14:textFill>
                  <w14:solidFill>
                    <w14:schemeClr w14:val="tx1"/>
                  </w14:solidFill>
                </w14:textFill>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52AE8516">
            <w:pPr>
              <w:spacing w:line="500" w:lineRule="exact"/>
              <w:jc w:val="center"/>
              <w:rPr>
                <w:rFonts w:ascii="宋体" w:hAnsi="宋体" w:cs="宋体"/>
                <w:color w:val="000000" w:themeColor="text1"/>
                <w:sz w:val="24"/>
                <w14:textFill>
                  <w14:solidFill>
                    <w14:schemeClr w14:val="tx1"/>
                  </w14:solidFill>
                </w14:textFill>
              </w:rPr>
            </w:pPr>
          </w:p>
        </w:tc>
      </w:tr>
      <w:tr w14:paraId="1DB5B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985" w:type="dxa"/>
            <w:tcBorders>
              <w:top w:val="single" w:color="000000" w:sz="4" w:space="0"/>
              <w:left w:val="single" w:color="000000" w:sz="4" w:space="0"/>
              <w:bottom w:val="single" w:color="000000" w:sz="4" w:space="0"/>
              <w:right w:val="single" w:color="000000" w:sz="4" w:space="0"/>
            </w:tcBorders>
            <w:vAlign w:val="center"/>
          </w:tcPr>
          <w:p w14:paraId="53402262">
            <w:pPr>
              <w:spacing w:line="500" w:lineRule="exact"/>
              <w:jc w:val="center"/>
              <w:rPr>
                <w:rFonts w:ascii="宋体" w:hAnsi="宋体" w:cs="宋体"/>
                <w:color w:val="000000" w:themeColor="text1"/>
                <w:kern w:val="0"/>
                <w:sz w:val="24"/>
                <w14:textFill>
                  <w14:solidFill>
                    <w14:schemeClr w14:val="tx1"/>
                  </w14:solidFill>
                </w14:textFill>
              </w:rPr>
            </w:pPr>
          </w:p>
        </w:tc>
        <w:tc>
          <w:tcPr>
            <w:tcW w:w="3502" w:type="dxa"/>
            <w:tcBorders>
              <w:top w:val="single" w:color="000000" w:sz="4" w:space="0"/>
              <w:left w:val="single" w:color="000000" w:sz="4" w:space="0"/>
              <w:bottom w:val="single" w:color="000000" w:sz="4" w:space="0"/>
              <w:right w:val="single" w:color="000000" w:sz="4" w:space="0"/>
            </w:tcBorders>
          </w:tcPr>
          <w:p w14:paraId="19F7BAEE">
            <w:pPr>
              <w:spacing w:line="500" w:lineRule="exact"/>
              <w:rPr>
                <w:rFonts w:ascii="宋体" w:hAnsi="宋体" w:cs="宋体"/>
                <w:color w:val="000000" w:themeColor="text1"/>
                <w:sz w:val="24"/>
                <w14:textFill>
                  <w14:solidFill>
                    <w14:schemeClr w14:val="tx1"/>
                  </w14:solidFill>
                </w14:textFill>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4E1E7CEA">
            <w:pPr>
              <w:spacing w:line="500" w:lineRule="exact"/>
              <w:jc w:val="center"/>
              <w:rPr>
                <w:rFonts w:ascii="宋体" w:hAnsi="宋体" w:cs="宋体"/>
                <w:color w:val="000000" w:themeColor="text1"/>
                <w:sz w:val="24"/>
                <w14:textFill>
                  <w14:solidFill>
                    <w14:schemeClr w14:val="tx1"/>
                  </w14:solidFill>
                </w14:textFill>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5D7ADC49">
            <w:pPr>
              <w:spacing w:line="500" w:lineRule="exact"/>
              <w:jc w:val="center"/>
              <w:rPr>
                <w:rFonts w:ascii="宋体" w:hAnsi="宋体" w:cs="宋体"/>
                <w:color w:val="000000" w:themeColor="text1"/>
                <w:sz w:val="24"/>
                <w14:textFill>
                  <w14:solidFill>
                    <w14:schemeClr w14:val="tx1"/>
                  </w14:solidFill>
                </w14:textFill>
              </w:rPr>
            </w:pPr>
          </w:p>
        </w:tc>
      </w:tr>
    </w:tbl>
    <w:p w14:paraId="2C57B183">
      <w:pPr>
        <w:pStyle w:val="31"/>
        <w:spacing w:before="0" w:beforeAutospacing="0" w:after="0" w:afterAutospacing="0" w:line="500" w:lineRule="exact"/>
        <w:rPr>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61C51AB9">
      <w:pPr>
        <w:pStyle w:val="31"/>
        <w:spacing w:before="0" w:beforeAutospacing="0" w:after="0" w:afterAutospacing="0" w:line="500" w:lineRule="exact"/>
        <w:rPr>
          <w:rFonts w:cs="宋体"/>
          <w:color w:val="000000" w:themeColor="text1"/>
          <w14:textFill>
            <w14:solidFill>
              <w14:schemeClr w14:val="tx1"/>
            </w14:solidFill>
          </w14:textFill>
        </w:rPr>
      </w:pPr>
    </w:p>
    <w:p w14:paraId="71EEA7E8">
      <w:pPr>
        <w:pStyle w:val="31"/>
        <w:spacing w:before="0" w:beforeAutospacing="0" w:after="0" w:afterAutospacing="0" w:line="500" w:lineRule="exact"/>
        <w:rPr>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6E4872A6">
      <w:pPr>
        <w:pStyle w:val="31"/>
        <w:spacing w:before="0" w:beforeAutospacing="0" w:after="0" w:afterAutospacing="0" w:line="500" w:lineRule="exact"/>
        <w:rPr>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7EE09913">
      <w:pPr>
        <w:spacing w:line="500" w:lineRule="exact"/>
        <w:jc w:val="left"/>
        <w:textAlignment w:val="auto"/>
        <w:rPr>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5489A9CB">
      <w:pPr>
        <w:pStyle w:val="31"/>
        <w:spacing w:before="0" w:beforeAutospacing="0" w:after="0" w:afterAutospacing="0" w:line="500" w:lineRule="exact"/>
        <w:jc w:val="center"/>
        <w:rPr>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7.竞价供应商需提供的其他材料</w:t>
      </w:r>
    </w:p>
    <w:p w14:paraId="22BED3CD">
      <w:pPr>
        <w:spacing w:line="500" w:lineRule="exact"/>
        <w:jc w:val="center"/>
        <w:rPr>
          <w:rFonts w:ascii="宋体" w:hAnsi="宋体" w:cs="宋体"/>
          <w:b/>
          <w:color w:val="000000" w:themeColor="text1"/>
          <w:sz w:val="24"/>
          <w14:textFill>
            <w14:solidFill>
              <w14:schemeClr w14:val="tx1"/>
            </w14:solidFill>
          </w14:textFill>
        </w:rPr>
      </w:pPr>
    </w:p>
    <w:p w14:paraId="3ACC028F">
      <w:pPr>
        <w:pStyle w:val="63"/>
        <w:spacing w:after="0" w:line="500" w:lineRule="exact"/>
        <w:rPr>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00A25EEA">
      <w:pPr>
        <w:pStyle w:val="64"/>
        <w:spacing w:line="500" w:lineRule="exact"/>
        <w:rPr>
          <w:rFonts w:ascii="宋体" w:hAnsi="宋体" w:cs="宋体"/>
          <w:color w:val="000000" w:themeColor="text1"/>
          <w:sz w:val="24"/>
          <w:szCs w:val="24"/>
          <w14:textFill>
            <w14:solidFill>
              <w14:schemeClr w14:val="tx1"/>
            </w14:solidFill>
          </w14:textFill>
        </w:rPr>
      </w:pPr>
    </w:p>
    <w:p w14:paraId="6A7E6FAC">
      <w:pPr>
        <w:pStyle w:val="63"/>
        <w:spacing w:after="0" w:line="500" w:lineRule="exact"/>
        <w:rPr>
          <w:rFonts w:ascii="宋体" w:hAnsi="宋体" w:cs="宋体"/>
          <w:color w:val="000000" w:themeColor="text1"/>
          <w:sz w:val="24"/>
          <w14:textFill>
            <w14:solidFill>
              <w14:schemeClr w14:val="tx1"/>
            </w14:solidFill>
          </w14:textFill>
        </w:rPr>
      </w:pPr>
    </w:p>
    <w:p w14:paraId="643E6F21">
      <w:pPr>
        <w:pStyle w:val="64"/>
        <w:spacing w:line="500" w:lineRule="exact"/>
        <w:rPr>
          <w:rFonts w:ascii="宋体" w:hAnsi="宋体" w:cs="宋体"/>
          <w:color w:val="000000" w:themeColor="text1"/>
          <w:sz w:val="24"/>
          <w:szCs w:val="24"/>
          <w14:textFill>
            <w14:solidFill>
              <w14:schemeClr w14:val="tx1"/>
            </w14:solidFill>
          </w14:textFill>
        </w:rPr>
      </w:pPr>
    </w:p>
    <w:p w14:paraId="77F62447">
      <w:pPr>
        <w:spacing w:line="500" w:lineRule="exact"/>
        <w:jc w:val="left"/>
        <w:textAlignment w:val="auto"/>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40B4B186">
      <w:pPr>
        <w:pStyle w:val="63"/>
        <w:spacing w:after="0" w:line="500" w:lineRule="exact"/>
        <w:jc w:val="center"/>
        <w:outlineLvl w:val="1"/>
        <w:rPr>
          <w:rFonts w:ascii="宋体" w:hAnsi="宋体" w:cs="宋体"/>
          <w:b/>
          <w:bCs/>
          <w:color w:val="000000" w:themeColor="text1"/>
          <w:sz w:val="30"/>
          <w:szCs w:val="30"/>
          <w14:textFill>
            <w14:solidFill>
              <w14:schemeClr w14:val="tx1"/>
            </w14:solidFill>
          </w14:textFill>
        </w:rPr>
      </w:pPr>
      <w:bookmarkStart w:id="6" w:name="_Toc97708366"/>
      <w:bookmarkStart w:id="7" w:name="_Toc7398"/>
      <w:r>
        <w:rPr>
          <w:rStyle w:val="23"/>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0B15DA97">
      <w:pPr>
        <w:pStyle w:val="84"/>
        <w:spacing w:after="0" w:line="500" w:lineRule="exact"/>
        <w:ind w:firstLine="480" w:firstLineChars="200"/>
        <w:rPr>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1DC4A97">
      <w:pPr>
        <w:jc w:val="left"/>
        <w:textAlignment w:val="auto"/>
        <w:rPr>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59708B58">
      <w:pPr>
        <w:pStyle w:val="51"/>
        <w:spacing w:beforeAutospacing="0" w:afterAutospacing="0" w:line="500" w:lineRule="exact"/>
        <w:ind w:firstLine="352" w:firstLineChars="147"/>
        <w:rPr>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7DABC1F8">
      <w:pPr>
        <w:pStyle w:val="51"/>
        <w:spacing w:beforeAutospacing="0" w:afterAutospacing="0" w:line="500" w:lineRule="exact"/>
        <w:jc w:val="center"/>
        <w:rPr>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报价一览表</w:t>
      </w:r>
    </w:p>
    <w:p w14:paraId="72B8DFBB">
      <w:pPr>
        <w:pStyle w:val="59"/>
        <w:spacing w:line="500" w:lineRule="exact"/>
        <w:ind w:firstLine="6240" w:firstLineChars="2600"/>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金额单位：人民币元</w:t>
      </w:r>
    </w:p>
    <w:tbl>
      <w:tblPr>
        <w:tblStyle w:val="19"/>
        <w:tblpPr w:leftFromText="180" w:rightFromText="180" w:vertAnchor="text" w:tblpY="1"/>
        <w:tblOverlap w:val="never"/>
        <w:tblW w:w="97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3"/>
        <w:gridCol w:w="993"/>
        <w:gridCol w:w="3961"/>
        <w:gridCol w:w="1251"/>
        <w:gridCol w:w="1440"/>
        <w:gridCol w:w="1230"/>
      </w:tblGrid>
      <w:tr w14:paraId="27B06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45278F70">
            <w:pPr>
              <w:snapToGrid w:val="0"/>
              <w:spacing w:line="500" w:lineRule="exact"/>
              <w:jc w:val="center"/>
              <w:rPr>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lang w:val="en-US" w:eastAsia="zh-CN"/>
                <w14:textFill>
                  <w14:solidFill>
                    <w14:schemeClr w14:val="tx1"/>
                  </w14:solidFill>
                </w14:textFill>
              </w:rPr>
              <w:t>采购</w:t>
            </w:r>
            <w:r>
              <w:rPr>
                <w:rStyle w:val="23"/>
                <w:rFonts w:hint="eastAsia" w:ascii="宋体" w:hAnsi="宋体" w:cs="宋体"/>
                <w:b/>
                <w:bCs/>
                <w:color w:val="000000" w:themeColor="text1"/>
                <w:spacing w:val="-11"/>
                <w:sz w:val="24"/>
                <w14:textFill>
                  <w14:solidFill>
                    <w14:schemeClr w14:val="tx1"/>
                  </w14:solidFill>
                </w14:textFill>
              </w:rPr>
              <w:t>包</w:t>
            </w:r>
          </w:p>
        </w:tc>
        <w:tc>
          <w:tcPr>
            <w:tcW w:w="993" w:type="dxa"/>
            <w:tcBorders>
              <w:top w:val="single" w:color="000000" w:sz="4" w:space="0"/>
              <w:left w:val="single" w:color="000000" w:sz="4" w:space="0"/>
              <w:bottom w:val="single" w:color="000000" w:sz="4" w:space="0"/>
              <w:right w:val="single" w:color="auto" w:sz="4" w:space="0"/>
            </w:tcBorders>
            <w:vAlign w:val="center"/>
          </w:tcPr>
          <w:p w14:paraId="58C51FC9">
            <w:pPr>
              <w:pStyle w:val="38"/>
              <w:snapToGrid w:val="0"/>
              <w:spacing w:line="500" w:lineRule="exact"/>
              <w:jc w:val="center"/>
              <w:rPr>
                <w:rFonts w:hAnsi="宋体" w:cs="宋体"/>
                <w:b/>
                <w:bCs/>
                <w:color w:val="000000" w:themeColor="text1"/>
                <w:spacing w:val="-11"/>
                <w:sz w:val="24"/>
                <w14:textFill>
                  <w14:solidFill>
                    <w14:schemeClr w14:val="tx1"/>
                  </w14:solidFill>
                </w14:textFill>
              </w:rPr>
            </w:pPr>
            <w:r>
              <w:rPr>
                <w:rFonts w:hint="eastAsia" w:hAnsi="宋体" w:cs="宋体"/>
                <w:b/>
                <w:bCs/>
                <w:sz w:val="24"/>
                <w:lang w:val="en-US" w:eastAsia="zh-CN"/>
              </w:rPr>
              <w:t>项目</w:t>
            </w:r>
            <w:r>
              <w:rPr>
                <w:rFonts w:hint="eastAsia" w:hAnsi="宋体" w:cs="宋体"/>
                <w:b/>
                <w:bCs/>
                <w:sz w:val="24"/>
              </w:rPr>
              <w:t>号</w:t>
            </w:r>
          </w:p>
        </w:tc>
        <w:tc>
          <w:tcPr>
            <w:tcW w:w="3961" w:type="dxa"/>
            <w:tcBorders>
              <w:top w:val="single" w:color="000000" w:sz="4" w:space="0"/>
              <w:left w:val="single" w:color="auto" w:sz="4" w:space="0"/>
              <w:bottom w:val="single" w:color="000000" w:sz="4" w:space="0"/>
              <w:right w:val="single" w:color="000000" w:sz="4" w:space="0"/>
            </w:tcBorders>
            <w:vAlign w:val="center"/>
          </w:tcPr>
          <w:p w14:paraId="1513F906">
            <w:pPr>
              <w:pStyle w:val="38"/>
              <w:snapToGrid w:val="0"/>
              <w:spacing w:line="500" w:lineRule="exact"/>
              <w:jc w:val="center"/>
              <w:rPr>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物品名称</w:t>
            </w:r>
          </w:p>
        </w:tc>
        <w:tc>
          <w:tcPr>
            <w:tcW w:w="1251" w:type="dxa"/>
            <w:tcBorders>
              <w:top w:val="single" w:color="000000" w:sz="4" w:space="0"/>
              <w:left w:val="single" w:color="000000" w:sz="4" w:space="0"/>
              <w:bottom w:val="single" w:color="000000" w:sz="4" w:space="0"/>
              <w:right w:val="single" w:color="000000" w:sz="4" w:space="0"/>
            </w:tcBorders>
            <w:vAlign w:val="center"/>
          </w:tcPr>
          <w:p w14:paraId="630AB1CD">
            <w:pPr>
              <w:snapToGrid w:val="0"/>
              <w:spacing w:line="500" w:lineRule="exact"/>
              <w:jc w:val="center"/>
              <w:rPr>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数量</w:t>
            </w:r>
          </w:p>
        </w:tc>
        <w:tc>
          <w:tcPr>
            <w:tcW w:w="1440" w:type="dxa"/>
            <w:tcBorders>
              <w:top w:val="single" w:color="000000" w:sz="4" w:space="0"/>
              <w:left w:val="single" w:color="000000" w:sz="4" w:space="0"/>
              <w:bottom w:val="single" w:color="000000" w:sz="4" w:space="0"/>
              <w:right w:val="single" w:color="000000" w:sz="4" w:space="0"/>
            </w:tcBorders>
            <w:vAlign w:val="center"/>
          </w:tcPr>
          <w:p w14:paraId="3E142A65">
            <w:pPr>
              <w:snapToGrid w:val="0"/>
              <w:spacing w:line="500" w:lineRule="exact"/>
              <w:jc w:val="center"/>
              <w:rPr>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投标单价</w:t>
            </w:r>
          </w:p>
        </w:tc>
        <w:tc>
          <w:tcPr>
            <w:tcW w:w="1230" w:type="dxa"/>
            <w:tcBorders>
              <w:top w:val="single" w:color="000000" w:sz="4" w:space="0"/>
              <w:left w:val="single" w:color="000000" w:sz="4" w:space="0"/>
              <w:bottom w:val="single" w:color="000000" w:sz="4" w:space="0"/>
              <w:right w:val="single" w:color="000000" w:sz="4" w:space="0"/>
            </w:tcBorders>
            <w:vAlign w:val="center"/>
          </w:tcPr>
          <w:p w14:paraId="4E8E2666">
            <w:pPr>
              <w:snapToGrid w:val="0"/>
              <w:spacing w:line="500" w:lineRule="exact"/>
              <w:jc w:val="center"/>
              <w:rPr>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合计金额</w:t>
            </w:r>
          </w:p>
        </w:tc>
      </w:tr>
      <w:tr w14:paraId="6D10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53" w:type="dxa"/>
            <w:vMerge w:val="restart"/>
            <w:tcBorders>
              <w:top w:val="single" w:color="000000" w:sz="4" w:space="0"/>
              <w:left w:val="single" w:color="000000" w:sz="4" w:space="0"/>
              <w:right w:val="single" w:color="000000" w:sz="4" w:space="0"/>
            </w:tcBorders>
            <w:vAlign w:val="center"/>
          </w:tcPr>
          <w:p w14:paraId="047C22B1">
            <w:pPr>
              <w:pStyle w:val="35"/>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93" w:type="dxa"/>
            <w:tcBorders>
              <w:top w:val="single" w:color="000000" w:sz="4" w:space="0"/>
              <w:left w:val="single" w:color="000000" w:sz="4" w:space="0"/>
              <w:bottom w:val="single" w:color="000000" w:sz="4" w:space="0"/>
              <w:right w:val="single" w:color="auto" w:sz="4" w:space="0"/>
            </w:tcBorders>
            <w:vAlign w:val="center"/>
          </w:tcPr>
          <w:p w14:paraId="563E7FD5">
            <w:pPr>
              <w:spacing w:line="500" w:lineRule="exact"/>
              <w:jc w:val="center"/>
              <w:textAlignment w:val="center"/>
              <w:rPr>
                <w:rFonts w:hint="default" w:ascii="宋体" w:hAnsi="宋体" w:eastAsia="宋体" w:cs="宋体"/>
                <w:color w:val="000000"/>
                <w:sz w:val="24"/>
                <w:lang w:val="en-US" w:eastAsia="zh-CN"/>
              </w:rPr>
            </w:pPr>
            <w:r>
              <w:rPr>
                <w:rFonts w:hint="eastAsia" w:ascii="宋体" w:hAnsi="宋体" w:cs="宋体"/>
                <w:bCs/>
                <w:sz w:val="24"/>
              </w:rPr>
              <w:t>1</w:t>
            </w:r>
            <w:r>
              <w:rPr>
                <w:rFonts w:hint="eastAsia" w:ascii="宋体" w:hAnsi="宋体" w:cs="宋体"/>
                <w:bCs/>
                <w:sz w:val="24"/>
                <w:lang w:val="en-US" w:eastAsia="zh-CN"/>
              </w:rPr>
              <w:t>-1</w:t>
            </w:r>
          </w:p>
        </w:tc>
        <w:tc>
          <w:tcPr>
            <w:tcW w:w="3961" w:type="dxa"/>
            <w:tcBorders>
              <w:top w:val="single" w:color="000000" w:sz="4" w:space="0"/>
              <w:left w:val="single" w:color="auto" w:sz="4" w:space="0"/>
              <w:bottom w:val="single" w:color="000000" w:sz="4" w:space="0"/>
              <w:right w:val="single" w:color="000000" w:sz="4" w:space="0"/>
            </w:tcBorders>
            <w:vAlign w:val="center"/>
          </w:tcPr>
          <w:p w14:paraId="29E301A1">
            <w:pPr>
              <w:spacing w:line="500" w:lineRule="exact"/>
              <w:jc w:val="center"/>
              <w:rPr>
                <w:rFonts w:ascii="宋体" w:hAnsi="宋体" w:cs="宋体"/>
                <w:sz w:val="24"/>
              </w:rPr>
            </w:pPr>
            <w:r>
              <w:rPr>
                <w:rFonts w:hint="eastAsia" w:ascii="宋体" w:hAnsi="宋体" w:cs="宋体"/>
                <w:b w:val="0"/>
                <w:bCs w:val="0"/>
                <w:color w:val="auto"/>
                <w:kern w:val="0"/>
                <w:sz w:val="24"/>
                <w:szCs w:val="24"/>
                <w:highlight w:val="none"/>
                <w:lang w:val="en-US" w:eastAsia="zh-CN"/>
              </w:rPr>
              <w:t>《新能源汽车底盘技术》金教材项目</w:t>
            </w:r>
          </w:p>
        </w:tc>
        <w:tc>
          <w:tcPr>
            <w:tcW w:w="1251" w:type="dxa"/>
            <w:tcBorders>
              <w:top w:val="single" w:color="000000" w:sz="4" w:space="0"/>
              <w:left w:val="single" w:color="000000" w:sz="4" w:space="0"/>
              <w:bottom w:val="single" w:color="000000" w:sz="4" w:space="0"/>
              <w:right w:val="single" w:color="000000" w:sz="4" w:space="0"/>
            </w:tcBorders>
            <w:vAlign w:val="center"/>
          </w:tcPr>
          <w:p w14:paraId="4B4EBEB1">
            <w:pPr>
              <w:spacing w:line="500" w:lineRule="exact"/>
              <w:jc w:val="center"/>
              <w:rPr>
                <w:rFonts w:ascii="宋体" w:hAnsi="宋体" w:cs="宋体"/>
                <w:sz w:val="24"/>
              </w:rPr>
            </w:pPr>
            <w:r>
              <w:rPr>
                <w:rFonts w:hint="eastAsia" w:ascii="宋体" w:hAnsi="宋体" w:cs="宋体"/>
                <w:sz w:val="24"/>
              </w:rPr>
              <w:t>1份</w:t>
            </w:r>
          </w:p>
        </w:tc>
        <w:tc>
          <w:tcPr>
            <w:tcW w:w="1440" w:type="dxa"/>
            <w:tcBorders>
              <w:top w:val="single" w:color="000000" w:sz="4" w:space="0"/>
              <w:left w:val="single" w:color="000000" w:sz="4" w:space="0"/>
              <w:bottom w:val="single" w:color="000000" w:sz="4" w:space="0"/>
              <w:right w:val="single" w:color="000000" w:sz="4" w:space="0"/>
            </w:tcBorders>
            <w:vAlign w:val="center"/>
          </w:tcPr>
          <w:p w14:paraId="21FE1A25">
            <w:pPr>
              <w:snapToGrid w:val="0"/>
              <w:spacing w:line="500" w:lineRule="exact"/>
              <w:jc w:val="center"/>
              <w:rPr>
                <w:rFonts w:ascii="宋体" w:hAnsi="宋体" w:cs="宋体"/>
                <w:color w:val="000000" w:themeColor="text1"/>
                <w:spacing w:val="-11"/>
                <w:sz w:val="24"/>
                <w14:textFill>
                  <w14:solidFill>
                    <w14:schemeClr w14:val="tx1"/>
                  </w14:solidFill>
                </w14:textFill>
              </w:rPr>
            </w:pPr>
          </w:p>
        </w:tc>
        <w:tc>
          <w:tcPr>
            <w:tcW w:w="1230" w:type="dxa"/>
            <w:vMerge w:val="restart"/>
            <w:tcBorders>
              <w:top w:val="single" w:color="000000" w:sz="4" w:space="0"/>
              <w:left w:val="single" w:color="000000" w:sz="4" w:space="0"/>
              <w:right w:val="single" w:color="000000" w:sz="4" w:space="0"/>
            </w:tcBorders>
            <w:vAlign w:val="center"/>
          </w:tcPr>
          <w:p w14:paraId="7AB3F50A">
            <w:pPr>
              <w:snapToGrid w:val="0"/>
              <w:spacing w:line="500" w:lineRule="exact"/>
              <w:jc w:val="center"/>
              <w:rPr>
                <w:rFonts w:ascii="宋体" w:hAnsi="宋体" w:cs="宋体"/>
                <w:color w:val="000000" w:themeColor="text1"/>
                <w:spacing w:val="-11"/>
                <w:sz w:val="24"/>
                <w14:textFill>
                  <w14:solidFill>
                    <w14:schemeClr w14:val="tx1"/>
                  </w14:solidFill>
                </w14:textFill>
              </w:rPr>
            </w:pPr>
          </w:p>
        </w:tc>
      </w:tr>
      <w:tr w14:paraId="4788D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728" w:type="dxa"/>
            <w:gridSpan w:val="6"/>
            <w:tcBorders>
              <w:top w:val="single" w:color="000000" w:sz="4" w:space="0"/>
              <w:left w:val="single" w:color="000000" w:sz="4" w:space="0"/>
              <w:bottom w:val="single" w:color="000000" w:sz="4" w:space="0"/>
              <w:right w:val="single" w:color="000000" w:sz="4" w:space="0"/>
            </w:tcBorders>
            <w:vAlign w:val="center"/>
          </w:tcPr>
          <w:p w14:paraId="5366A987">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2A793DF5">
            <w:pPr>
              <w:spacing w:line="500" w:lineRule="exact"/>
              <w:jc w:val="left"/>
              <w:rPr>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6411EF53">
      <w:pPr>
        <w:spacing w:line="500" w:lineRule="exact"/>
        <w:ind w:firstLine="3240" w:firstLineChars="1350"/>
        <w:jc w:val="left"/>
        <w:rPr>
          <w:rFonts w:ascii="宋体" w:hAnsi="宋体" w:cs="宋体"/>
          <w:color w:val="000000" w:themeColor="text1"/>
          <w:sz w:val="24"/>
          <w14:textFill>
            <w14:solidFill>
              <w14:schemeClr w14:val="tx1"/>
            </w14:solidFill>
          </w14:textFill>
        </w:rPr>
      </w:pPr>
    </w:p>
    <w:p w14:paraId="77EC902F">
      <w:pPr>
        <w:spacing w:line="500" w:lineRule="exact"/>
        <w:ind w:firstLine="3240" w:firstLineChars="1350"/>
        <w:jc w:val="left"/>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竞价供应商(全称并加盖公章)：</w:t>
      </w:r>
    </w:p>
    <w:p w14:paraId="44888854">
      <w:pPr>
        <w:spacing w:line="500" w:lineRule="exact"/>
        <w:ind w:firstLine="3240" w:firstLineChars="1350"/>
        <w:jc w:val="left"/>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竞价供应商代表签字：</w:t>
      </w:r>
    </w:p>
    <w:p w14:paraId="22CBD3CC">
      <w:pPr>
        <w:spacing w:line="500" w:lineRule="exact"/>
        <w:ind w:firstLine="3240" w:firstLineChars="1350"/>
        <w:jc w:val="left"/>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35F288A0">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4F7D44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EF62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B5A9D6">
                          <w:pPr>
                            <w:pStyle w:val="10"/>
                            <w:jc w:val="center"/>
                          </w:pPr>
                        </w:p>
                        <w:p w14:paraId="23358D54"/>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An0fNQugEAAIQDAAAOAAAAAAAAAAEAIAAAACEBAABkcnMvZTJvRG9jLnhtbFBLBQYAAAAA&#10;BgAGAFkBAABNBQAAAAA=&#10;">
              <v:fill on="f" focussize="0,0"/>
              <v:stroke on="f"/>
              <v:imagedata o:title=""/>
              <o:lock v:ext="edit" aspectratio="f"/>
              <v:textbox inset="0mm,0mm,0mm,0mm">
                <w:txbxContent>
                  <w:p w14:paraId="06B5A9D6">
                    <w:pPr>
                      <w:pStyle w:val="10"/>
                      <w:jc w:val="center"/>
                    </w:pPr>
                  </w:p>
                  <w:p w14:paraId="23358D54"/>
                </w:txbxContent>
              </v:textbox>
            </v:shape>
          </w:pict>
        </mc:Fallback>
      </mc:AlternateContent>
    </w:r>
  </w:p>
  <w:p w14:paraId="5516521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E012">
    <w:pPr>
      <w:pStyle w:val="12"/>
      <w:pBdr>
        <w:bottom w:val="single" w:color="000000" w:sz="6" w:space="0"/>
      </w:pBdr>
      <w:tabs>
        <w:tab w:val="center" w:pos="4535"/>
        <w:tab w:val="left" w:pos="5100"/>
        <w:tab w:val="left" w:pos="5685"/>
      </w:tabs>
      <w:jc w:val="left"/>
      <w:rPr>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5202">
    <w:pPr>
      <w:pStyle w:val="12"/>
      <w:jc w:val="left"/>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94259"/>
    <w:multiLevelType w:val="multilevel"/>
    <w:tmpl w:val="9A094259"/>
    <w:lvl w:ilvl="0" w:tentative="0">
      <w:start w:val="3"/>
      <w:numFmt w:val="decimal"/>
      <w:lvlText w:val="%1、"/>
      <w:lvlJc w:val="left"/>
      <w:pPr>
        <w:ind w:left="336" w:hanging="336"/>
      </w:pPr>
      <w:rPr>
        <w:rFonts w:hint="default"/>
      </w:r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4EE7180"/>
    <w:rsid w:val="05733B70"/>
    <w:rsid w:val="06DD11B3"/>
    <w:rsid w:val="06FB6AC8"/>
    <w:rsid w:val="071050A7"/>
    <w:rsid w:val="078401E4"/>
    <w:rsid w:val="079118C0"/>
    <w:rsid w:val="08CB0D0B"/>
    <w:rsid w:val="08E13733"/>
    <w:rsid w:val="08F118DA"/>
    <w:rsid w:val="097573CC"/>
    <w:rsid w:val="0B247261"/>
    <w:rsid w:val="0C9F232B"/>
    <w:rsid w:val="0D433F66"/>
    <w:rsid w:val="0D9D76FF"/>
    <w:rsid w:val="1088122B"/>
    <w:rsid w:val="12B26B7F"/>
    <w:rsid w:val="1479172F"/>
    <w:rsid w:val="14D01E4A"/>
    <w:rsid w:val="15C40D87"/>
    <w:rsid w:val="16EA2EE6"/>
    <w:rsid w:val="17347C07"/>
    <w:rsid w:val="189F4369"/>
    <w:rsid w:val="19625F34"/>
    <w:rsid w:val="1D2B3667"/>
    <w:rsid w:val="1F410D1D"/>
    <w:rsid w:val="1F666BD8"/>
    <w:rsid w:val="20A6423D"/>
    <w:rsid w:val="21A56676"/>
    <w:rsid w:val="21D84ED6"/>
    <w:rsid w:val="222F179D"/>
    <w:rsid w:val="22386D6C"/>
    <w:rsid w:val="23B714C6"/>
    <w:rsid w:val="246118A8"/>
    <w:rsid w:val="255C1C20"/>
    <w:rsid w:val="26AA4A6B"/>
    <w:rsid w:val="270A14E4"/>
    <w:rsid w:val="276C3EAC"/>
    <w:rsid w:val="2A121864"/>
    <w:rsid w:val="2A9507F7"/>
    <w:rsid w:val="2A9D585A"/>
    <w:rsid w:val="2BFC409B"/>
    <w:rsid w:val="2CDD3E70"/>
    <w:rsid w:val="2CED0D7D"/>
    <w:rsid w:val="2E471AB6"/>
    <w:rsid w:val="2F874D88"/>
    <w:rsid w:val="2FA77400"/>
    <w:rsid w:val="305E51F8"/>
    <w:rsid w:val="314920DA"/>
    <w:rsid w:val="3167139E"/>
    <w:rsid w:val="33FE123B"/>
    <w:rsid w:val="34074DE6"/>
    <w:rsid w:val="342954D0"/>
    <w:rsid w:val="34EE16F2"/>
    <w:rsid w:val="36E30B90"/>
    <w:rsid w:val="3A4E5731"/>
    <w:rsid w:val="3D850F09"/>
    <w:rsid w:val="3DF54C9C"/>
    <w:rsid w:val="3EB0029C"/>
    <w:rsid w:val="401F555E"/>
    <w:rsid w:val="42173716"/>
    <w:rsid w:val="432B3B11"/>
    <w:rsid w:val="435C2D18"/>
    <w:rsid w:val="458A4B1F"/>
    <w:rsid w:val="45CE76A7"/>
    <w:rsid w:val="46257B31"/>
    <w:rsid w:val="464F7E56"/>
    <w:rsid w:val="4698770F"/>
    <w:rsid w:val="47B61E19"/>
    <w:rsid w:val="4824595F"/>
    <w:rsid w:val="493F1504"/>
    <w:rsid w:val="499A0307"/>
    <w:rsid w:val="4C237FE7"/>
    <w:rsid w:val="4F6213A0"/>
    <w:rsid w:val="50EF69A8"/>
    <w:rsid w:val="515B7535"/>
    <w:rsid w:val="531B76FE"/>
    <w:rsid w:val="53E2281F"/>
    <w:rsid w:val="5588161D"/>
    <w:rsid w:val="58816255"/>
    <w:rsid w:val="58CC6F53"/>
    <w:rsid w:val="58CD4FF7"/>
    <w:rsid w:val="599B1EFD"/>
    <w:rsid w:val="5AFF3461"/>
    <w:rsid w:val="5B1B379E"/>
    <w:rsid w:val="5D86525F"/>
    <w:rsid w:val="60E20E04"/>
    <w:rsid w:val="61127B32"/>
    <w:rsid w:val="657039BF"/>
    <w:rsid w:val="65F475D7"/>
    <w:rsid w:val="67307659"/>
    <w:rsid w:val="6C294224"/>
    <w:rsid w:val="6C494EAC"/>
    <w:rsid w:val="6C5A7CC6"/>
    <w:rsid w:val="6D447540"/>
    <w:rsid w:val="6DCB751A"/>
    <w:rsid w:val="6FC66E61"/>
    <w:rsid w:val="6FD24DDA"/>
    <w:rsid w:val="70763D6E"/>
    <w:rsid w:val="71BE2523"/>
    <w:rsid w:val="72201288"/>
    <w:rsid w:val="74F87B4B"/>
    <w:rsid w:val="75B726C4"/>
    <w:rsid w:val="76BE7415"/>
    <w:rsid w:val="783E2D3C"/>
    <w:rsid w:val="78B2790D"/>
    <w:rsid w:val="79BE07AA"/>
    <w:rsid w:val="79C43AA9"/>
    <w:rsid w:val="79F56A63"/>
    <w:rsid w:val="7AB0796D"/>
    <w:rsid w:val="7BDF585B"/>
    <w:rsid w:val="7BFA05F4"/>
    <w:rsid w:val="7D662FD0"/>
    <w:rsid w:val="7E096A20"/>
    <w:rsid w:val="7E854971"/>
    <w:rsid w:val="7E875D94"/>
    <w:rsid w:val="7EBC5F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Indent"/>
    <w:basedOn w:val="1"/>
    <w:next w:val="3"/>
    <w:qFormat/>
    <w:uiPriority w:val="0"/>
    <w:pPr>
      <w:spacing w:after="120"/>
      <w:ind w:left="420" w:leftChars="200"/>
    </w:pPr>
  </w:style>
  <w:style w:type="paragraph" w:styleId="5">
    <w:name w:val="Document Map"/>
    <w:basedOn w:val="1"/>
    <w:link w:val="83"/>
    <w:qFormat/>
    <w:uiPriority w:val="0"/>
    <w:rPr>
      <w:rFonts w:ascii="宋体"/>
      <w:sz w:val="18"/>
      <w:szCs w:val="18"/>
    </w:rPr>
  </w:style>
  <w:style w:type="paragraph" w:styleId="6">
    <w:name w:val="annotation text"/>
    <w:basedOn w:val="1"/>
    <w:link w:val="30"/>
    <w:qFormat/>
    <w:uiPriority w:val="0"/>
    <w:pPr>
      <w:jc w:val="left"/>
    </w:pPr>
  </w:style>
  <w:style w:type="paragraph" w:styleId="7">
    <w:name w:val="Body Text"/>
    <w:basedOn w:val="1"/>
    <w:qFormat/>
    <w:uiPriority w:val="0"/>
    <w:pPr>
      <w:spacing w:after="120"/>
    </w:pPr>
  </w:style>
  <w:style w:type="paragraph" w:styleId="8">
    <w:name w:val="Date"/>
    <w:basedOn w:val="1"/>
    <w:next w:val="1"/>
    <w:qFormat/>
    <w:uiPriority w:val="0"/>
    <w:pPr>
      <w:ind w:left="100" w:leftChars="2500"/>
    </w:pPr>
  </w:style>
  <w:style w:type="paragraph" w:styleId="9">
    <w:name w:val="Balloon Text"/>
    <w:basedOn w:val="1"/>
    <w:link w:val="43"/>
    <w:qFormat/>
    <w:uiPriority w:val="0"/>
    <w:rPr>
      <w:rFonts w:ascii="宋体"/>
      <w:sz w:val="18"/>
      <w:szCs w:val="18"/>
    </w:rPr>
  </w:style>
  <w:style w:type="paragraph" w:styleId="10">
    <w:name w:val="footer"/>
    <w:basedOn w:val="1"/>
    <w:link w:val="66"/>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91"/>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6"/>
    <w:next w:val="6"/>
    <w:link w:val="75"/>
    <w:qFormat/>
    <w:uiPriority w:val="0"/>
    <w:rPr>
      <w:b/>
      <w:bCs/>
    </w:rPr>
  </w:style>
  <w:style w:type="paragraph" w:styleId="17">
    <w:name w:val="Body Text First Indent"/>
    <w:basedOn w:val="7"/>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character" w:customStyle="1" w:styleId="29">
    <w:name w:val="PageNumber"/>
    <w:basedOn w:val="23"/>
    <w:qFormat/>
    <w:uiPriority w:val="0"/>
  </w:style>
  <w:style w:type="character" w:customStyle="1" w:styleId="30">
    <w:name w:val="批注文字 Char"/>
    <w:basedOn w:val="21"/>
    <w:link w:val="6"/>
    <w:qFormat/>
    <w:uiPriority w:val="0"/>
    <w:rPr>
      <w:kern w:val="2"/>
      <w:sz w:val="21"/>
      <w:szCs w:val="24"/>
    </w:rPr>
  </w:style>
  <w:style w:type="paragraph" w:customStyle="1" w:styleId="31">
    <w:name w:val="HtmlNormal"/>
    <w:basedOn w:val="1"/>
    <w:qFormat/>
    <w:uiPriority w:val="0"/>
    <w:pPr>
      <w:spacing w:before="100" w:beforeAutospacing="1" w:after="100" w:afterAutospacing="1"/>
      <w:jc w:val="left"/>
    </w:pPr>
    <w:rPr>
      <w:rFonts w:ascii="宋体" w:hAnsi="宋体"/>
      <w:kern w:val="0"/>
      <w:sz w:val="24"/>
    </w:rPr>
  </w:style>
  <w:style w:type="paragraph" w:customStyle="1" w:styleId="32">
    <w:name w:val="AnnotationSubject"/>
    <w:basedOn w:val="33"/>
    <w:next w:val="33"/>
    <w:link w:val="53"/>
    <w:qFormat/>
    <w:uiPriority w:val="0"/>
    <w:rPr>
      <w:rFonts w:cs="Times New Roman"/>
      <w:b/>
      <w:bCs/>
    </w:rPr>
  </w:style>
  <w:style w:type="paragraph" w:customStyle="1" w:styleId="33">
    <w:name w:val="AnnotationText"/>
    <w:basedOn w:val="1"/>
    <w:link w:val="68"/>
    <w:qFormat/>
    <w:uiPriority w:val="0"/>
    <w:pPr>
      <w:jc w:val="left"/>
    </w:pPr>
  </w:style>
  <w:style w:type="paragraph" w:customStyle="1" w:styleId="34">
    <w:name w:val="NavPane"/>
    <w:basedOn w:val="1"/>
    <w:semiHidden/>
    <w:qFormat/>
    <w:uiPriority w:val="0"/>
    <w:pPr>
      <w:shd w:val="clear" w:color="auto" w:fill="000080"/>
    </w:pPr>
  </w:style>
  <w:style w:type="paragraph" w:customStyle="1" w:styleId="35">
    <w:name w:val="Table Paragraph"/>
    <w:basedOn w:val="1"/>
    <w:qFormat/>
    <w:uiPriority w:val="1"/>
  </w:style>
  <w:style w:type="character" w:customStyle="1" w:styleId="36">
    <w:name w:val="font151"/>
    <w:basedOn w:val="21"/>
    <w:qFormat/>
    <w:uiPriority w:val="0"/>
    <w:rPr>
      <w:rFonts w:hint="default" w:ascii="Arial" w:hAnsi="Arial" w:cs="Arial"/>
      <w:color w:val="000000"/>
      <w:sz w:val="20"/>
      <w:szCs w:val="20"/>
      <w:u w:val="none"/>
    </w:rPr>
  </w:style>
  <w:style w:type="paragraph" w:customStyle="1" w:styleId="37">
    <w:name w:val="UserStyle_20"/>
    <w:basedOn w:val="1"/>
    <w:qFormat/>
    <w:uiPriority w:val="0"/>
    <w:rPr>
      <w:rFonts w:ascii="Tahoma" w:hAnsi="Tahoma"/>
      <w:sz w:val="24"/>
      <w:szCs w:val="20"/>
    </w:rPr>
  </w:style>
  <w:style w:type="paragraph" w:customStyle="1" w:styleId="38">
    <w:name w:val="PlainText"/>
    <w:basedOn w:val="1"/>
    <w:qFormat/>
    <w:uiPriority w:val="0"/>
    <w:rPr>
      <w:rFonts w:ascii="宋体" w:hAnsi="Courier New"/>
      <w:kern w:val="0"/>
      <w:sz w:val="20"/>
    </w:rPr>
  </w:style>
  <w:style w:type="paragraph" w:customStyle="1" w:styleId="39">
    <w:name w:val="Table Text"/>
    <w:basedOn w:val="1"/>
    <w:semiHidden/>
    <w:qFormat/>
    <w:uiPriority w:val="0"/>
    <w:rPr>
      <w:rFonts w:ascii="宋体" w:hAnsi="宋体" w:cs="宋体"/>
      <w:sz w:val="24"/>
      <w:lang w:eastAsia="en-US"/>
    </w:rPr>
  </w:style>
  <w:style w:type="character" w:customStyle="1" w:styleId="40">
    <w:name w:val="font201"/>
    <w:basedOn w:val="21"/>
    <w:qFormat/>
    <w:uiPriority w:val="0"/>
    <w:rPr>
      <w:rFonts w:hint="eastAsia" w:ascii="宋体" w:hAnsi="宋体" w:eastAsia="宋体" w:cs="宋体"/>
      <w:color w:val="000000"/>
      <w:sz w:val="20"/>
      <w:szCs w:val="20"/>
      <w:u w:val="none"/>
    </w:rPr>
  </w:style>
  <w:style w:type="paragraph" w:customStyle="1" w:styleId="41">
    <w:name w:val="UserStyle_16"/>
    <w:basedOn w:val="1"/>
    <w:qFormat/>
    <w:uiPriority w:val="0"/>
    <w:rPr>
      <w:rFonts w:ascii="Tahoma" w:hAnsi="Tahoma"/>
      <w:sz w:val="24"/>
      <w:szCs w:val="20"/>
    </w:rPr>
  </w:style>
  <w:style w:type="character" w:customStyle="1" w:styleId="42">
    <w:name w:val="UserStyle_10"/>
    <w:basedOn w:val="23"/>
    <w:qFormat/>
    <w:uiPriority w:val="0"/>
  </w:style>
  <w:style w:type="character" w:customStyle="1" w:styleId="43">
    <w:name w:val="批注框文本 Char"/>
    <w:basedOn w:val="21"/>
    <w:link w:val="9"/>
    <w:qFormat/>
    <w:uiPriority w:val="0"/>
    <w:rPr>
      <w:rFonts w:ascii="宋体" w:cstheme="minorBidi"/>
      <w:kern w:val="2"/>
      <w:sz w:val="18"/>
      <w:szCs w:val="18"/>
    </w:rPr>
  </w:style>
  <w:style w:type="paragraph" w:customStyle="1" w:styleId="44">
    <w:name w:val="Acetate"/>
    <w:basedOn w:val="1"/>
    <w:semiHidden/>
    <w:qFormat/>
    <w:uiPriority w:val="0"/>
    <w:rPr>
      <w:sz w:val="18"/>
      <w:szCs w:val="18"/>
    </w:rPr>
  </w:style>
  <w:style w:type="paragraph" w:customStyle="1" w:styleId="45">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character" w:customStyle="1" w:styleId="46">
    <w:name w:val="UserStyle_24"/>
    <w:basedOn w:val="23"/>
    <w:qFormat/>
    <w:uiPriority w:val="0"/>
    <w:rPr>
      <w:rFonts w:ascii="宋体" w:hAnsi="宋体" w:eastAsia="宋体"/>
      <w:color w:val="000000"/>
      <w:sz w:val="18"/>
      <w:szCs w:val="18"/>
    </w:rPr>
  </w:style>
  <w:style w:type="paragraph" w:customStyle="1" w:styleId="47">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48">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9">
    <w:name w:val="font31"/>
    <w:basedOn w:val="21"/>
    <w:qFormat/>
    <w:uiPriority w:val="0"/>
    <w:rPr>
      <w:rFonts w:hint="default" w:ascii="幼圆" w:hAnsi="幼圆" w:eastAsia="幼圆" w:cs="幼圆"/>
      <w:color w:val="000000"/>
      <w:sz w:val="24"/>
      <w:szCs w:val="24"/>
      <w:u w:val="none"/>
    </w:rPr>
  </w:style>
  <w:style w:type="character" w:customStyle="1" w:styleId="50">
    <w:name w:val="UserStyle_1"/>
    <w:link w:val="51"/>
    <w:qFormat/>
    <w:uiPriority w:val="0"/>
    <w:rPr>
      <w:rFonts w:ascii="宋体" w:hAnsi="宋体"/>
      <w:b/>
      <w:sz w:val="36"/>
      <w:szCs w:val="36"/>
    </w:rPr>
  </w:style>
  <w:style w:type="paragraph" w:customStyle="1" w:styleId="51">
    <w:name w:val="Heading2"/>
    <w:basedOn w:val="1"/>
    <w:next w:val="1"/>
    <w:link w:val="50"/>
    <w:qFormat/>
    <w:uiPriority w:val="0"/>
    <w:pPr>
      <w:spacing w:beforeAutospacing="1" w:afterAutospacing="1"/>
      <w:jc w:val="left"/>
    </w:pPr>
    <w:rPr>
      <w:rFonts w:ascii="宋体" w:hAnsi="宋体"/>
      <w:b/>
      <w:kern w:val="0"/>
      <w:sz w:val="36"/>
      <w:szCs w:val="36"/>
    </w:rPr>
  </w:style>
  <w:style w:type="paragraph" w:customStyle="1" w:styleId="52">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character" w:customStyle="1" w:styleId="53">
    <w:name w:val="UserStyle_5"/>
    <w:link w:val="32"/>
    <w:qFormat/>
    <w:uiPriority w:val="0"/>
    <w:rPr>
      <w:rFonts w:cs="Times New Roman"/>
      <w:b/>
      <w:bCs/>
      <w:kern w:val="2"/>
      <w:sz w:val="21"/>
      <w:szCs w:val="24"/>
    </w:rPr>
  </w:style>
  <w:style w:type="paragraph" w:customStyle="1" w:styleId="54">
    <w:name w:val="UserStyle_12"/>
    <w:basedOn w:val="38"/>
    <w:qFormat/>
    <w:uiPriority w:val="0"/>
    <w:pPr>
      <w:spacing w:line="240" w:lineRule="atLeast"/>
    </w:pPr>
    <w:rPr>
      <w:sz w:val="28"/>
    </w:rPr>
  </w:style>
  <w:style w:type="table" w:customStyle="1" w:styleId="55">
    <w:name w:val="Table Normal"/>
    <w:semiHidden/>
    <w:unhideWhenUsed/>
    <w:qFormat/>
    <w:uiPriority w:val="2"/>
    <w:tblPr>
      <w:tblCellMar>
        <w:top w:w="0" w:type="dxa"/>
        <w:left w:w="0" w:type="dxa"/>
        <w:bottom w:w="0" w:type="dxa"/>
        <w:right w:w="0" w:type="dxa"/>
      </w:tblCellMar>
    </w:tblPr>
  </w:style>
  <w:style w:type="paragraph" w:customStyle="1" w:styleId="56">
    <w:name w:val="Fließtext"/>
    <w:basedOn w:val="1"/>
    <w:autoRedefine/>
    <w:qFormat/>
    <w:uiPriority w:val="0"/>
    <w:pPr>
      <w:overflowPunct w:val="0"/>
      <w:autoSpaceDE w:val="0"/>
      <w:autoSpaceDN w:val="0"/>
      <w:adjustRightInd w:val="0"/>
    </w:pPr>
    <w:rPr>
      <w:kern w:val="28"/>
      <w:szCs w:val="20"/>
    </w:rPr>
  </w:style>
  <w:style w:type="paragraph" w:customStyle="1" w:styleId="57">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58">
    <w:name w:val="179"/>
    <w:basedOn w:val="1"/>
    <w:qFormat/>
    <w:uiPriority w:val="0"/>
    <w:pPr>
      <w:ind w:firstLine="420" w:firstLineChars="200"/>
    </w:pPr>
  </w:style>
  <w:style w:type="paragraph" w:customStyle="1" w:styleId="5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60">
    <w:name w:val="UserStyle_18"/>
    <w:basedOn w:val="1"/>
    <w:qFormat/>
    <w:uiPriority w:val="0"/>
    <w:rPr>
      <w:kern w:val="28"/>
      <w:szCs w:val="20"/>
    </w:rPr>
  </w:style>
  <w:style w:type="paragraph" w:customStyle="1" w:styleId="61">
    <w:name w:val="EnvelopeReturn"/>
    <w:basedOn w:val="1"/>
    <w:qFormat/>
    <w:uiPriority w:val="0"/>
    <w:pPr>
      <w:snapToGrid w:val="0"/>
    </w:pPr>
    <w:rPr>
      <w:rFonts w:ascii="Arial" w:hAnsi="Arial"/>
    </w:rPr>
  </w:style>
  <w:style w:type="character" w:customStyle="1" w:styleId="62">
    <w:name w:val="UserStyle_7"/>
    <w:qFormat/>
    <w:uiPriority w:val="0"/>
    <w:rPr>
      <w:rFonts w:ascii="Arial" w:hAnsi="Arial"/>
      <w:sz w:val="18"/>
      <w:szCs w:val="18"/>
    </w:rPr>
  </w:style>
  <w:style w:type="paragraph" w:customStyle="1" w:styleId="63">
    <w:name w:val="BodyTextIndent"/>
    <w:basedOn w:val="1"/>
    <w:next w:val="64"/>
    <w:qFormat/>
    <w:uiPriority w:val="0"/>
    <w:pPr>
      <w:spacing w:after="120"/>
      <w:ind w:left="420" w:leftChars="200"/>
    </w:pPr>
  </w:style>
  <w:style w:type="paragraph" w:customStyle="1" w:styleId="64">
    <w:name w:val="NormalIndent"/>
    <w:basedOn w:val="1"/>
    <w:next w:val="63"/>
    <w:link w:val="93"/>
    <w:qFormat/>
    <w:uiPriority w:val="0"/>
    <w:pPr>
      <w:ind w:firstLine="420"/>
    </w:pPr>
    <w:rPr>
      <w:szCs w:val="20"/>
    </w:rPr>
  </w:style>
  <w:style w:type="character" w:customStyle="1" w:styleId="65">
    <w:name w:val="font41"/>
    <w:basedOn w:val="21"/>
    <w:qFormat/>
    <w:uiPriority w:val="0"/>
    <w:rPr>
      <w:rFonts w:hint="eastAsia" w:ascii="宋体" w:hAnsi="宋体" w:eastAsia="宋体" w:cs="宋体"/>
      <w:color w:val="000000"/>
      <w:sz w:val="22"/>
      <w:szCs w:val="22"/>
      <w:u w:val="none"/>
    </w:rPr>
  </w:style>
  <w:style w:type="character" w:customStyle="1" w:styleId="66">
    <w:name w:val="页脚 Char"/>
    <w:link w:val="10"/>
    <w:qFormat/>
    <w:uiPriority w:val="99"/>
    <w:rPr>
      <w:kern w:val="2"/>
      <w:sz w:val="18"/>
      <w:szCs w:val="18"/>
    </w:rPr>
  </w:style>
  <w:style w:type="paragraph" w:customStyle="1" w:styleId="67">
    <w:name w:val="null3"/>
    <w:autoRedefine/>
    <w:qFormat/>
    <w:uiPriority w:val="0"/>
    <w:rPr>
      <w:rFonts w:hint="eastAsia" w:ascii="Calibri" w:hAnsi="Calibri" w:eastAsia="宋体" w:cs="Times New Roman"/>
      <w:lang w:val="en-US" w:eastAsia="zh-CN" w:bidi="ar-SA"/>
    </w:rPr>
  </w:style>
  <w:style w:type="character" w:customStyle="1" w:styleId="68">
    <w:name w:val="UserStyle_2"/>
    <w:link w:val="33"/>
    <w:qFormat/>
    <w:uiPriority w:val="0"/>
    <w:rPr>
      <w:kern w:val="2"/>
      <w:sz w:val="21"/>
      <w:szCs w:val="24"/>
    </w:rPr>
  </w:style>
  <w:style w:type="paragraph" w:customStyle="1" w:styleId="69">
    <w:name w:val="UserStyle_17"/>
    <w:basedOn w:val="1"/>
    <w:qFormat/>
    <w:uiPriority w:val="0"/>
    <w:pPr>
      <w:spacing w:line="360" w:lineRule="auto"/>
    </w:pPr>
    <w:rPr>
      <w:kern w:val="0"/>
      <w:sz w:val="24"/>
      <w:szCs w:val="20"/>
    </w:rPr>
  </w:style>
  <w:style w:type="character" w:customStyle="1" w:styleId="70">
    <w:name w:val="UserStyle_9"/>
    <w:basedOn w:val="23"/>
    <w:qFormat/>
    <w:uiPriority w:val="0"/>
  </w:style>
  <w:style w:type="table" w:customStyle="1" w:styleId="71">
    <w:name w:val="TableGrid"/>
    <w:basedOn w:val="72"/>
    <w:qFormat/>
    <w:uiPriority w:val="0"/>
    <w:tblPr>
      <w:tblCellMar>
        <w:top w:w="0" w:type="dxa"/>
        <w:left w:w="0" w:type="dxa"/>
        <w:bottom w:w="0" w:type="dxa"/>
        <w:right w:w="0" w:type="dxa"/>
      </w:tblCellMar>
    </w:tblPr>
  </w:style>
  <w:style w:type="table" w:customStyle="1" w:styleId="72">
    <w:name w:val="TableNormal"/>
    <w:semiHidden/>
    <w:qFormat/>
    <w:uiPriority w:val="0"/>
    <w:tblPr>
      <w:tblCellMar>
        <w:top w:w="0" w:type="dxa"/>
        <w:left w:w="0" w:type="dxa"/>
        <w:bottom w:w="0" w:type="dxa"/>
        <w:right w:w="0" w:type="dxa"/>
      </w:tblCellMar>
    </w:tblPr>
  </w:style>
  <w:style w:type="paragraph" w:styleId="73">
    <w:name w:val="List Paragraph"/>
    <w:basedOn w:val="1"/>
    <w:unhideWhenUsed/>
    <w:qFormat/>
    <w:uiPriority w:val="99"/>
    <w:pPr>
      <w:ind w:firstLine="420" w:firstLineChars="200"/>
    </w:pPr>
  </w:style>
  <w:style w:type="character" w:customStyle="1" w:styleId="74">
    <w:name w:val="UserStyle_23"/>
    <w:basedOn w:val="23"/>
    <w:qFormat/>
    <w:uiPriority w:val="0"/>
    <w:rPr>
      <w:rFonts w:ascii="宋体" w:hAnsi="宋体" w:eastAsia="宋体"/>
      <w:color w:val="000000"/>
      <w:sz w:val="18"/>
      <w:szCs w:val="18"/>
    </w:rPr>
  </w:style>
  <w:style w:type="character" w:customStyle="1" w:styleId="75">
    <w:name w:val="批注主题 Char"/>
    <w:basedOn w:val="30"/>
    <w:link w:val="16"/>
    <w:qFormat/>
    <w:uiPriority w:val="0"/>
    <w:rPr>
      <w:b/>
      <w:bCs/>
      <w:kern w:val="2"/>
      <w:sz w:val="21"/>
      <w:szCs w:val="24"/>
    </w:rPr>
  </w:style>
  <w:style w:type="paragraph" w:customStyle="1" w:styleId="76">
    <w:name w:val="UserStyle_15"/>
    <w:basedOn w:val="1"/>
    <w:qFormat/>
    <w:uiPriority w:val="0"/>
    <w:pPr>
      <w:spacing w:before="100" w:beforeAutospacing="1" w:after="100" w:afterAutospacing="1"/>
      <w:jc w:val="left"/>
    </w:pPr>
    <w:rPr>
      <w:rFonts w:ascii="宋体" w:hAnsi="宋体"/>
      <w:kern w:val="0"/>
      <w:sz w:val="24"/>
    </w:rPr>
  </w:style>
  <w:style w:type="paragraph" w:customStyle="1" w:styleId="77">
    <w:name w:val="UserStyle_22"/>
    <w:basedOn w:val="1"/>
    <w:qFormat/>
    <w:uiPriority w:val="0"/>
    <w:rPr>
      <w:rFonts w:ascii="Tahoma" w:hAnsi="Tahoma"/>
      <w:sz w:val="24"/>
      <w:szCs w:val="20"/>
    </w:rPr>
  </w:style>
  <w:style w:type="character" w:customStyle="1" w:styleId="78">
    <w:name w:val="UserStyle_6"/>
    <w:basedOn w:val="23"/>
    <w:qFormat/>
    <w:uiPriority w:val="0"/>
    <w:rPr>
      <w:rFonts w:ascii="宋体" w:hAnsi="宋体" w:eastAsia="宋体"/>
      <w:color w:val="000000"/>
      <w:sz w:val="22"/>
      <w:szCs w:val="22"/>
    </w:rPr>
  </w:style>
  <w:style w:type="paragraph" w:customStyle="1" w:styleId="79">
    <w:name w:val="UserStyle_14"/>
    <w:basedOn w:val="34"/>
    <w:qFormat/>
    <w:uiPriority w:val="0"/>
    <w:rPr>
      <w:rFonts w:ascii="Tahoma" w:hAnsi="Tahoma"/>
      <w:sz w:val="24"/>
    </w:rPr>
  </w:style>
  <w:style w:type="character" w:customStyle="1" w:styleId="80">
    <w:name w:val="AnnotationReference"/>
    <w:qFormat/>
    <w:uiPriority w:val="0"/>
    <w:rPr>
      <w:sz w:val="21"/>
      <w:szCs w:val="21"/>
    </w:rPr>
  </w:style>
  <w:style w:type="character" w:customStyle="1" w:styleId="81">
    <w:name w:val="font312"/>
    <w:basedOn w:val="21"/>
    <w:qFormat/>
    <w:uiPriority w:val="0"/>
    <w:rPr>
      <w:rFonts w:hint="eastAsia" w:ascii="宋体" w:hAnsi="宋体" w:eastAsia="宋体" w:cs="宋体"/>
      <w:color w:val="3C3C3C"/>
      <w:sz w:val="20"/>
      <w:szCs w:val="20"/>
      <w:u w:val="none"/>
    </w:rPr>
  </w:style>
  <w:style w:type="paragraph" w:customStyle="1" w:styleId="82">
    <w:name w:val="UserStyle_19"/>
    <w:basedOn w:val="1"/>
    <w:qFormat/>
    <w:uiPriority w:val="0"/>
    <w:rPr>
      <w:rFonts w:ascii="Tahoma" w:hAnsi="Tahoma"/>
      <w:sz w:val="24"/>
      <w:szCs w:val="20"/>
    </w:rPr>
  </w:style>
  <w:style w:type="character" w:customStyle="1" w:styleId="83">
    <w:name w:val="文档结构图 Char"/>
    <w:basedOn w:val="21"/>
    <w:link w:val="5"/>
    <w:qFormat/>
    <w:uiPriority w:val="0"/>
    <w:rPr>
      <w:rFonts w:ascii="宋体" w:cstheme="minorBidi"/>
      <w:kern w:val="2"/>
      <w:sz w:val="18"/>
      <w:szCs w:val="18"/>
    </w:rPr>
  </w:style>
  <w:style w:type="paragraph" w:customStyle="1" w:styleId="84">
    <w:name w:val="BodyText"/>
    <w:basedOn w:val="1"/>
    <w:qFormat/>
    <w:uiPriority w:val="0"/>
    <w:pPr>
      <w:spacing w:after="120"/>
    </w:pPr>
  </w:style>
  <w:style w:type="character" w:customStyle="1" w:styleId="85">
    <w:name w:val="UserStyle_11"/>
    <w:basedOn w:val="23"/>
    <w:qFormat/>
    <w:uiPriority w:val="0"/>
    <w:rPr>
      <w:rFonts w:ascii="PMingLiU" w:hAnsi="PMingLiU" w:eastAsia="PMingLiU"/>
      <w:color w:val="000000"/>
      <w:sz w:val="22"/>
      <w:szCs w:val="22"/>
    </w:rPr>
  </w:style>
  <w:style w:type="paragraph" w:customStyle="1" w:styleId="86">
    <w:name w:val="BodyText1I2"/>
    <w:basedOn w:val="63"/>
    <w:qFormat/>
    <w:uiPriority w:val="0"/>
    <w:pPr>
      <w:tabs>
        <w:tab w:val="left" w:pos="4606"/>
      </w:tabs>
      <w:ind w:firstLine="420"/>
    </w:pPr>
  </w:style>
  <w:style w:type="character" w:customStyle="1" w:styleId="87">
    <w:name w:val="UserStyle_8"/>
    <w:basedOn w:val="23"/>
    <w:qFormat/>
    <w:uiPriority w:val="0"/>
    <w:rPr>
      <w:rFonts w:ascii="宋体" w:hAnsi="宋体" w:eastAsia="宋体"/>
      <w:color w:val="000000"/>
      <w:sz w:val="22"/>
      <w:szCs w:val="22"/>
    </w:rPr>
  </w:style>
  <w:style w:type="character" w:customStyle="1" w:styleId="88">
    <w:name w:val="font131"/>
    <w:basedOn w:val="21"/>
    <w:qFormat/>
    <w:uiPriority w:val="0"/>
    <w:rPr>
      <w:rFonts w:hint="eastAsia" w:ascii="宋体" w:hAnsi="宋体" w:eastAsia="宋体" w:cs="宋体"/>
      <w:color w:val="000000"/>
      <w:sz w:val="22"/>
      <w:szCs w:val="22"/>
      <w:u w:val="none"/>
    </w:rPr>
  </w:style>
  <w:style w:type="paragraph" w:customStyle="1" w:styleId="89">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BodyTextIndent2"/>
    <w:basedOn w:val="1"/>
    <w:qFormat/>
    <w:uiPriority w:val="0"/>
    <w:pPr>
      <w:spacing w:line="500" w:lineRule="atLeast"/>
      <w:ind w:firstLine="420" w:firstLineChars="175"/>
    </w:pPr>
    <w:rPr>
      <w:rFonts w:ascii="新宋体" w:hAnsi="新宋体" w:eastAsia="新宋体"/>
      <w:sz w:val="24"/>
      <w:szCs w:val="20"/>
    </w:rPr>
  </w:style>
  <w:style w:type="character" w:customStyle="1" w:styleId="91">
    <w:name w:val="页眉 Char"/>
    <w:link w:val="12"/>
    <w:qFormat/>
    <w:uiPriority w:val="0"/>
    <w:rPr>
      <w:kern w:val="2"/>
      <w:sz w:val="18"/>
      <w:szCs w:val="18"/>
    </w:rPr>
  </w:style>
  <w:style w:type="paragraph" w:customStyle="1" w:styleId="92">
    <w:name w:val="BodyText1I"/>
    <w:basedOn w:val="84"/>
    <w:qFormat/>
    <w:uiPriority w:val="0"/>
    <w:pPr>
      <w:ind w:firstLine="420" w:firstLineChars="100"/>
    </w:pPr>
    <w:rPr>
      <w:rFonts w:ascii="Calibri" w:hAnsi="Calibri"/>
      <w:kern w:val="0"/>
      <w:sz w:val="20"/>
      <w:szCs w:val="20"/>
    </w:rPr>
  </w:style>
  <w:style w:type="character" w:customStyle="1" w:styleId="93">
    <w:name w:val="UserStyle_0"/>
    <w:link w:val="64"/>
    <w:qFormat/>
    <w:uiPriority w:val="0"/>
    <w:rPr>
      <w:rFonts w:eastAsia="宋体"/>
      <w:kern w:val="2"/>
      <w:sz w:val="21"/>
      <w:lang w:val="en-US" w:eastAsia="zh-CN" w:bidi="ar-SA"/>
    </w:rPr>
  </w:style>
  <w:style w:type="character" w:customStyle="1" w:styleId="94">
    <w:name w:val="font261"/>
    <w:basedOn w:val="21"/>
    <w:qFormat/>
    <w:uiPriority w:val="0"/>
    <w:rPr>
      <w:rFonts w:hint="default" w:ascii="PMingLiU" w:hAnsi="PMingLiU" w:eastAsia="PMingLiU" w:cs="PMingLiU"/>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10178</Words>
  <Characters>10881</Characters>
  <TotalTime>23</TotalTime>
  <ScaleCrop>false</ScaleCrop>
  <LinksUpToDate>false</LinksUpToDate>
  <CharactersWithSpaces>11336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2026-04-22T20:20:00Z</dcterms:created>
  <dc:creator>zou</dc:creator>
  <cp:lastModifiedBy>111111111</cp:lastModifiedBy>
  <dcterms:modified xsi:type="dcterms:W3CDTF">2026-04-28T03:24:41Z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eyJoZGlkIjoiOGY1NTFmOTc5Zjg2ZDk3MTExYmRmZDc1MTIxNzZmZmMifQ==</vt:lpwstr>
  </property>
  <property fmtid="{D5CDD505-2E9C-101B-9397-08002B2CF9AE}" pid="3" name="KSOProductBuildVer">
    <vt:lpwstr>2052-12.1.0.23125</vt:lpwstr>
  </property>
  <property fmtid="{D5CDD505-2E9C-101B-9397-08002B2CF9AE}" pid="4" name="ICV">
    <vt:lpwstr>F2619B1B9F5E41D295FD4F3F66381C67_13</vt:lpwstr>
  </property>
</Properties>
</file>