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A4D" w:rsidRPr="00765A4D" w:rsidRDefault="00765A4D" w:rsidP="00765A4D">
      <w:pPr>
        <w:widowControl/>
        <w:spacing w:line="500" w:lineRule="exact"/>
        <w:jc w:val="center"/>
        <w:rPr>
          <w:rFonts w:ascii="Arial" w:eastAsia="宋体" w:hAnsi="Arial" w:cs="Arial"/>
          <w:kern w:val="0"/>
          <w:sz w:val="24"/>
          <w:szCs w:val="24"/>
        </w:rPr>
      </w:pPr>
      <w:bookmarkStart w:id="0" w:name="_GoBack"/>
      <w:r w:rsidRPr="00765A4D">
        <w:rPr>
          <w:rFonts w:ascii="Arial" w:eastAsia="宋体" w:hAnsi="Arial" w:cs="Arial"/>
          <w:b/>
          <w:bCs/>
          <w:kern w:val="0"/>
          <w:sz w:val="36"/>
          <w:szCs w:val="36"/>
        </w:rPr>
        <w:t>关于做好</w:t>
      </w:r>
      <w:r w:rsidRPr="00765A4D">
        <w:rPr>
          <w:rFonts w:ascii="Arial" w:eastAsia="宋体" w:hAnsi="Arial" w:cs="Arial"/>
          <w:b/>
          <w:bCs/>
          <w:kern w:val="0"/>
          <w:sz w:val="36"/>
          <w:szCs w:val="36"/>
        </w:rPr>
        <w:t>2024</w:t>
      </w:r>
      <w:r w:rsidRPr="00765A4D">
        <w:rPr>
          <w:rFonts w:ascii="Arial" w:eastAsia="宋体" w:hAnsi="Arial" w:cs="Arial"/>
          <w:b/>
          <w:bCs/>
          <w:kern w:val="0"/>
          <w:sz w:val="36"/>
          <w:szCs w:val="36"/>
        </w:rPr>
        <w:t>年降成本重点工作的通知</w:t>
      </w:r>
      <w:bookmarkEnd w:id="0"/>
    </w:p>
    <w:p w:rsidR="00765A4D" w:rsidRPr="00765A4D" w:rsidRDefault="00765A4D" w:rsidP="00765A4D">
      <w:pPr>
        <w:widowControl/>
        <w:spacing w:line="500" w:lineRule="exact"/>
        <w:jc w:val="center"/>
        <w:rPr>
          <w:rFonts w:ascii="Arial" w:eastAsia="宋体" w:hAnsi="Arial" w:cs="Arial"/>
          <w:kern w:val="0"/>
          <w:sz w:val="24"/>
          <w:szCs w:val="24"/>
        </w:rPr>
      </w:pPr>
      <w:r w:rsidRPr="00765A4D">
        <w:rPr>
          <w:rFonts w:ascii="Arial" w:eastAsia="宋体" w:hAnsi="Arial" w:cs="Arial"/>
          <w:kern w:val="0"/>
          <w:sz w:val="24"/>
          <w:szCs w:val="24"/>
        </w:rPr>
        <w:t>发改办运行〔</w:t>
      </w:r>
      <w:r w:rsidRPr="00765A4D">
        <w:rPr>
          <w:rFonts w:ascii="Arial" w:eastAsia="宋体" w:hAnsi="Arial" w:cs="Arial"/>
          <w:kern w:val="0"/>
          <w:sz w:val="24"/>
          <w:szCs w:val="24"/>
        </w:rPr>
        <w:t>2024</w:t>
      </w:r>
      <w:r w:rsidRPr="00765A4D">
        <w:rPr>
          <w:rFonts w:ascii="Arial" w:eastAsia="宋体" w:hAnsi="Arial" w:cs="Arial"/>
          <w:kern w:val="0"/>
          <w:sz w:val="24"/>
          <w:szCs w:val="24"/>
        </w:rPr>
        <w:t>〕</w:t>
      </w:r>
      <w:r w:rsidRPr="00765A4D">
        <w:rPr>
          <w:rFonts w:ascii="Arial" w:eastAsia="宋体" w:hAnsi="Arial" w:cs="Arial"/>
          <w:kern w:val="0"/>
          <w:sz w:val="24"/>
          <w:szCs w:val="24"/>
        </w:rPr>
        <w:t>428</w:t>
      </w:r>
      <w:r w:rsidRPr="00765A4D">
        <w:rPr>
          <w:rFonts w:ascii="Arial" w:eastAsia="宋体" w:hAnsi="Arial" w:cs="Arial"/>
          <w:kern w:val="0"/>
          <w:sz w:val="24"/>
          <w:szCs w:val="24"/>
        </w:rPr>
        <w:t>号</w:t>
      </w:r>
    </w:p>
    <w:p w:rsidR="00765A4D" w:rsidRPr="00765A4D" w:rsidRDefault="00765A4D" w:rsidP="00765A4D">
      <w:pPr>
        <w:widowControl/>
        <w:spacing w:line="50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65A4D">
        <w:rPr>
          <w:rFonts w:ascii="Arial" w:eastAsia="宋体" w:hAnsi="Arial" w:cs="Arial"/>
          <w:kern w:val="0"/>
          <w:sz w:val="24"/>
          <w:szCs w:val="24"/>
        </w:rPr>
        <w:br/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公安部、民政部、司法部、人力资源社会保障部、自然资源部、生态环境部、住房城乡建设部、交通运输部、水利部、农业农村部、商务部、国务院国资委、海关总署、税务总局、市场监管总局、金融监管总局、中国证监会、国家统计局、国家知识产权局、国家能源局、国家林草局、中国民航局、国家外汇局办公厅（办公室），中国国家铁路集团有限公司，各省、自治区、直辖市及计划单列市、副省级省会城市、新疆生产建设兵团发展改革委、工业和信息化主管部门、财政厅（局），人民银行上海总部，各省、自治区、直辖市及计划单列市分行：</w:t>
      </w:r>
      <w:r w:rsidRPr="00765A4D">
        <w:rPr>
          <w:rFonts w:ascii="Arial" w:eastAsia="宋体" w:hAnsi="Arial" w:cs="Arial"/>
          <w:kern w:val="0"/>
          <w:sz w:val="24"/>
          <w:szCs w:val="24"/>
        </w:rPr>
        <w:br/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近年来，各地区、各有关部门按照党中央、国务院决策部署，多</w:t>
      </w:r>
      <w:proofErr w:type="gramStart"/>
      <w:r w:rsidRPr="00765A4D">
        <w:rPr>
          <w:rFonts w:ascii="宋体" w:eastAsia="宋体" w:hAnsi="宋体" w:cs="宋体" w:hint="eastAsia"/>
          <w:kern w:val="0"/>
          <w:sz w:val="24"/>
          <w:szCs w:val="24"/>
        </w:rPr>
        <w:t>措</w:t>
      </w:r>
      <w:proofErr w:type="gramEnd"/>
      <w:r w:rsidRPr="00765A4D">
        <w:rPr>
          <w:rFonts w:ascii="宋体" w:eastAsia="宋体" w:hAnsi="宋体" w:cs="宋体" w:hint="eastAsia"/>
          <w:kern w:val="0"/>
          <w:sz w:val="24"/>
          <w:szCs w:val="24"/>
        </w:rPr>
        <w:t>并举激发各类经营主体活力，推动降低实体经济企业成本工作取得显著成效。为深入贯彻中央经济工作会议精神，落实好《政府工作报告》提出的各项降成本重点任务，全力支持实体经济高质量发展，2024年降低实体经济企业成本工作部际联席会议将重点组织落实好7个方面22项任务。</w:t>
      </w:r>
      <w:r w:rsidRPr="00765A4D">
        <w:rPr>
          <w:rFonts w:ascii="Arial" w:eastAsia="宋体" w:hAnsi="Arial" w:cs="Arial"/>
          <w:kern w:val="0"/>
          <w:sz w:val="24"/>
          <w:szCs w:val="24"/>
        </w:rPr>
        <w:br/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Arial" w:eastAsia="宋体" w:hAnsi="Arial" w:cs="Arial"/>
          <w:b/>
          <w:bCs/>
          <w:kern w:val="0"/>
          <w:sz w:val="24"/>
          <w:szCs w:val="24"/>
        </w:rPr>
        <w:t>一、提高税费优惠政策的针对性有效性</w:t>
      </w:r>
      <w:r w:rsidRPr="00765A4D">
        <w:rPr>
          <w:rFonts w:ascii="Arial" w:eastAsia="宋体" w:hAnsi="Arial" w:cs="Arial"/>
          <w:kern w:val="0"/>
          <w:sz w:val="24"/>
          <w:szCs w:val="24"/>
        </w:rPr>
        <w:br/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Arial" w:eastAsia="宋体" w:hAnsi="Arial" w:cs="Arial"/>
          <w:b/>
          <w:bCs/>
          <w:kern w:val="0"/>
          <w:sz w:val="24"/>
          <w:szCs w:val="24"/>
        </w:rPr>
        <w:t>（一）优化税费优惠政策。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落实好研发费用税前加计扣除、科技成果转化税收减免等结构性减税降费政策，重点支持科技创新和制造业发展，强化企业科技创新主体地位。适当降低先进技术装备和资源品进口关税。</w:t>
      </w:r>
      <w:r w:rsidRPr="00765A4D">
        <w:rPr>
          <w:rFonts w:ascii="Arial" w:eastAsia="宋体" w:hAnsi="Arial" w:cs="Arial"/>
          <w:kern w:val="0"/>
          <w:sz w:val="24"/>
          <w:szCs w:val="24"/>
        </w:rPr>
        <w:br/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Arial" w:eastAsia="宋体" w:hAnsi="Arial" w:cs="Arial"/>
          <w:b/>
          <w:bCs/>
          <w:kern w:val="0"/>
          <w:sz w:val="24"/>
          <w:szCs w:val="24"/>
        </w:rPr>
        <w:t>（二）强化涉企收费监管。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坚决查处乱收费、乱罚款、乱摊派。聚焦政府部门及下属单位、行业协会、金融机构、天然气管网和供水企业等领域，依法查处行政审批中介服务违规收费、行业协会依托行政权力违规收费、金融机构不落实收费减免政策、天然气管网和供水企业不执行政府定价等行为。研究建立</w:t>
      </w:r>
      <w:proofErr w:type="gramStart"/>
      <w:r w:rsidRPr="00765A4D">
        <w:rPr>
          <w:rFonts w:ascii="宋体" w:eastAsia="宋体" w:hAnsi="宋体" w:cs="宋体" w:hint="eastAsia"/>
          <w:kern w:val="0"/>
          <w:sz w:val="24"/>
          <w:szCs w:val="24"/>
        </w:rPr>
        <w:t>常态化涉企</w:t>
      </w:r>
      <w:proofErr w:type="gramEnd"/>
      <w:r w:rsidRPr="00765A4D">
        <w:rPr>
          <w:rFonts w:ascii="宋体" w:eastAsia="宋体" w:hAnsi="宋体" w:cs="宋体" w:hint="eastAsia"/>
          <w:kern w:val="0"/>
          <w:sz w:val="24"/>
          <w:szCs w:val="24"/>
        </w:rPr>
        <w:t>收费协同监管体系和工作机制，落实涉企收费目录清单制度，完善涉企收费联合监管、联合惩戒机制，提升涉企收费监管的法治化水平。</w:t>
      </w:r>
      <w:r w:rsidRPr="00765A4D">
        <w:rPr>
          <w:rFonts w:ascii="Arial" w:eastAsia="宋体" w:hAnsi="Arial" w:cs="Arial"/>
          <w:kern w:val="0"/>
          <w:sz w:val="24"/>
          <w:szCs w:val="24"/>
        </w:rPr>
        <w:br/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Arial" w:eastAsia="宋体" w:hAnsi="Arial" w:cs="Arial"/>
          <w:b/>
          <w:bCs/>
          <w:kern w:val="0"/>
          <w:sz w:val="24"/>
          <w:szCs w:val="24"/>
        </w:rPr>
        <w:t>二、提升金融服务实体经济质效</w:t>
      </w:r>
      <w:r w:rsidRPr="00765A4D">
        <w:rPr>
          <w:rFonts w:ascii="Arial" w:eastAsia="宋体" w:hAnsi="Arial" w:cs="Arial"/>
          <w:kern w:val="0"/>
          <w:sz w:val="24"/>
          <w:szCs w:val="24"/>
        </w:rPr>
        <w:br/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Arial" w:eastAsia="宋体" w:hAnsi="Arial" w:cs="Arial"/>
          <w:b/>
          <w:bCs/>
          <w:kern w:val="0"/>
          <w:sz w:val="24"/>
          <w:szCs w:val="24"/>
        </w:rPr>
        <w:t>（三）营造良好的货币金融环境。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稳健的货币政策要灵活适度、精准有效，综合运用多种货币政策工具，保持流动性合理充裕，社会融资规模、货币供应量同经济增长和价格水平预期目标相匹配。畅通货币政策传导机制，避免资金沉淀空转。保持人民币汇率在合理均衡水平上的基本稳定。</w:t>
      </w:r>
      <w:r w:rsidRPr="00765A4D">
        <w:rPr>
          <w:rFonts w:ascii="Arial" w:eastAsia="宋体" w:hAnsi="Arial" w:cs="Arial"/>
          <w:kern w:val="0"/>
          <w:sz w:val="24"/>
          <w:szCs w:val="24"/>
        </w:rPr>
        <w:br/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 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Arial" w:eastAsia="宋体" w:hAnsi="Arial" w:cs="Arial"/>
          <w:b/>
          <w:bCs/>
          <w:kern w:val="0"/>
          <w:sz w:val="24"/>
          <w:szCs w:val="24"/>
        </w:rPr>
        <w:t>（四）推动贷款利率稳中有降。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持续发挥贷款市场报价利率（LPR）改革效能和存款利率市场化调整机制的重要作用，在保持商业银行净息</w:t>
      </w:r>
      <w:proofErr w:type="gramStart"/>
      <w:r w:rsidRPr="00765A4D">
        <w:rPr>
          <w:rFonts w:ascii="宋体" w:eastAsia="宋体" w:hAnsi="宋体" w:cs="宋体" w:hint="eastAsia"/>
          <w:kern w:val="0"/>
          <w:sz w:val="24"/>
          <w:szCs w:val="24"/>
        </w:rPr>
        <w:t>差基本</w:t>
      </w:r>
      <w:proofErr w:type="gramEnd"/>
      <w:r w:rsidRPr="00765A4D">
        <w:rPr>
          <w:rFonts w:ascii="宋体" w:eastAsia="宋体" w:hAnsi="宋体" w:cs="宋体" w:hint="eastAsia"/>
          <w:kern w:val="0"/>
          <w:sz w:val="24"/>
          <w:szCs w:val="24"/>
        </w:rPr>
        <w:t>稳定的基础上，促进社会综合融资成本稳中有降。</w:t>
      </w:r>
      <w:r w:rsidRPr="00765A4D">
        <w:rPr>
          <w:rFonts w:ascii="Arial" w:eastAsia="宋体" w:hAnsi="Arial" w:cs="Arial"/>
          <w:kern w:val="0"/>
          <w:sz w:val="24"/>
          <w:szCs w:val="24"/>
        </w:rPr>
        <w:br/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Arial" w:eastAsia="宋体" w:hAnsi="Arial" w:cs="Arial"/>
          <w:b/>
          <w:bCs/>
          <w:kern w:val="0"/>
          <w:sz w:val="24"/>
          <w:szCs w:val="24"/>
        </w:rPr>
        <w:t>（五）引导金融资源精准滴灌。</w:t>
      </w:r>
      <w:proofErr w:type="gramStart"/>
      <w:r w:rsidRPr="00765A4D">
        <w:rPr>
          <w:rFonts w:ascii="宋体" w:eastAsia="宋体" w:hAnsi="宋体" w:cs="宋体" w:hint="eastAsia"/>
          <w:kern w:val="0"/>
          <w:sz w:val="24"/>
          <w:szCs w:val="24"/>
        </w:rPr>
        <w:t>保持再</w:t>
      </w:r>
      <w:proofErr w:type="gramEnd"/>
      <w:r w:rsidRPr="00765A4D">
        <w:rPr>
          <w:rFonts w:ascii="宋体" w:eastAsia="宋体" w:hAnsi="宋体" w:cs="宋体" w:hint="eastAsia"/>
          <w:kern w:val="0"/>
          <w:sz w:val="24"/>
          <w:szCs w:val="24"/>
        </w:rPr>
        <w:t>贷款、再贴现政策稳定性，</w:t>
      </w:r>
      <w:proofErr w:type="gramStart"/>
      <w:r w:rsidRPr="00765A4D">
        <w:rPr>
          <w:rFonts w:ascii="宋体" w:eastAsia="宋体" w:hAnsi="宋体" w:cs="宋体" w:hint="eastAsia"/>
          <w:kern w:val="0"/>
          <w:sz w:val="24"/>
          <w:szCs w:val="24"/>
        </w:rPr>
        <w:t>实施好普惠</w:t>
      </w:r>
      <w:proofErr w:type="gramEnd"/>
      <w:r w:rsidRPr="00765A4D">
        <w:rPr>
          <w:rFonts w:ascii="宋体" w:eastAsia="宋体" w:hAnsi="宋体" w:cs="宋体" w:hint="eastAsia"/>
          <w:kern w:val="0"/>
          <w:sz w:val="24"/>
          <w:szCs w:val="24"/>
        </w:rPr>
        <w:t>小</w:t>
      </w:r>
      <w:proofErr w:type="gramStart"/>
      <w:r w:rsidRPr="00765A4D">
        <w:rPr>
          <w:rFonts w:ascii="宋体" w:eastAsia="宋体" w:hAnsi="宋体" w:cs="宋体" w:hint="eastAsia"/>
          <w:kern w:val="0"/>
          <w:sz w:val="24"/>
          <w:szCs w:val="24"/>
        </w:rPr>
        <w:t>微贷款</w:t>
      </w:r>
      <w:proofErr w:type="gramEnd"/>
      <w:r w:rsidRPr="00765A4D">
        <w:rPr>
          <w:rFonts w:ascii="宋体" w:eastAsia="宋体" w:hAnsi="宋体" w:cs="宋体" w:hint="eastAsia"/>
          <w:kern w:val="0"/>
          <w:sz w:val="24"/>
          <w:szCs w:val="24"/>
        </w:rPr>
        <w:t>支持工具，继续对涉农、小微企业、民营企业提供普惠性、持续性的资金支持。发挥存款准备金政策的正向激励作用，继续对农村金融机构执行差别</w:t>
      </w:r>
      <w:proofErr w:type="gramStart"/>
      <w:r w:rsidRPr="00765A4D">
        <w:rPr>
          <w:rFonts w:ascii="宋体" w:eastAsia="宋体" w:hAnsi="宋体" w:cs="宋体" w:hint="eastAsia"/>
          <w:kern w:val="0"/>
          <w:sz w:val="24"/>
          <w:szCs w:val="24"/>
        </w:rPr>
        <w:t>化存款</w:t>
      </w:r>
      <w:proofErr w:type="gramEnd"/>
      <w:r w:rsidRPr="00765A4D">
        <w:rPr>
          <w:rFonts w:ascii="宋体" w:eastAsia="宋体" w:hAnsi="宋体" w:cs="宋体" w:hint="eastAsia"/>
          <w:kern w:val="0"/>
          <w:sz w:val="24"/>
          <w:szCs w:val="24"/>
        </w:rPr>
        <w:t>准备金率政策。深入开展中小</w:t>
      </w:r>
      <w:proofErr w:type="gramStart"/>
      <w:r w:rsidRPr="00765A4D">
        <w:rPr>
          <w:rFonts w:ascii="宋体" w:eastAsia="宋体" w:hAnsi="宋体" w:cs="宋体" w:hint="eastAsia"/>
          <w:kern w:val="0"/>
          <w:sz w:val="24"/>
          <w:szCs w:val="24"/>
        </w:rPr>
        <w:t>微企业</w:t>
      </w:r>
      <w:proofErr w:type="gramEnd"/>
      <w:r w:rsidRPr="00765A4D">
        <w:rPr>
          <w:rFonts w:ascii="宋体" w:eastAsia="宋体" w:hAnsi="宋体" w:cs="宋体" w:hint="eastAsia"/>
          <w:kern w:val="0"/>
          <w:sz w:val="24"/>
          <w:szCs w:val="24"/>
        </w:rPr>
        <w:t>金融服务能力提升工程，继续开展小微、民营企业信贷政策导向效果评估。优化商业银行小</w:t>
      </w:r>
      <w:proofErr w:type="gramStart"/>
      <w:r w:rsidRPr="00765A4D">
        <w:rPr>
          <w:rFonts w:ascii="宋体" w:eastAsia="宋体" w:hAnsi="宋体" w:cs="宋体" w:hint="eastAsia"/>
          <w:kern w:val="0"/>
          <w:sz w:val="24"/>
          <w:szCs w:val="24"/>
        </w:rPr>
        <w:t>微企业</w:t>
      </w:r>
      <w:proofErr w:type="gramEnd"/>
      <w:r w:rsidRPr="00765A4D">
        <w:rPr>
          <w:rFonts w:ascii="宋体" w:eastAsia="宋体" w:hAnsi="宋体" w:cs="宋体" w:hint="eastAsia"/>
          <w:kern w:val="0"/>
          <w:sz w:val="24"/>
          <w:szCs w:val="24"/>
        </w:rPr>
        <w:t>金融服务监管评价制度，完善</w:t>
      </w:r>
      <w:proofErr w:type="gramStart"/>
      <w:r w:rsidRPr="00765A4D">
        <w:rPr>
          <w:rFonts w:ascii="宋体" w:eastAsia="宋体" w:hAnsi="宋体" w:cs="宋体" w:hint="eastAsia"/>
          <w:kern w:val="0"/>
          <w:sz w:val="24"/>
          <w:szCs w:val="24"/>
        </w:rPr>
        <w:t>小微授信</w:t>
      </w:r>
      <w:proofErr w:type="gramEnd"/>
      <w:r w:rsidRPr="00765A4D">
        <w:rPr>
          <w:rFonts w:ascii="宋体" w:eastAsia="宋体" w:hAnsi="宋体" w:cs="宋体" w:hint="eastAsia"/>
          <w:kern w:val="0"/>
          <w:sz w:val="24"/>
          <w:szCs w:val="24"/>
        </w:rPr>
        <w:t>尽职免责制度，加大普</w:t>
      </w:r>
      <w:proofErr w:type="gramStart"/>
      <w:r w:rsidRPr="00765A4D">
        <w:rPr>
          <w:rFonts w:ascii="宋体" w:eastAsia="宋体" w:hAnsi="宋体" w:cs="宋体" w:hint="eastAsia"/>
          <w:kern w:val="0"/>
          <w:sz w:val="24"/>
          <w:szCs w:val="24"/>
        </w:rPr>
        <w:t>惠型小微企业</w:t>
      </w:r>
      <w:proofErr w:type="gramEnd"/>
      <w:r w:rsidRPr="00765A4D">
        <w:rPr>
          <w:rFonts w:ascii="宋体" w:eastAsia="宋体" w:hAnsi="宋体" w:cs="宋体" w:hint="eastAsia"/>
          <w:kern w:val="0"/>
          <w:sz w:val="24"/>
          <w:szCs w:val="24"/>
        </w:rPr>
        <w:t>贷款投放。引导金融机构持续加大对乡村振兴、科技创新、制造业、绿色发展等重大战略、重点领域和薄弱环节的金融支持力度。</w:t>
      </w:r>
      <w:r w:rsidRPr="00765A4D">
        <w:rPr>
          <w:rFonts w:ascii="Arial" w:eastAsia="宋体" w:hAnsi="Arial" w:cs="Arial"/>
          <w:kern w:val="0"/>
          <w:sz w:val="24"/>
          <w:szCs w:val="24"/>
        </w:rPr>
        <w:br/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Arial" w:eastAsia="宋体" w:hAnsi="Arial" w:cs="Arial"/>
          <w:b/>
          <w:bCs/>
          <w:kern w:val="0"/>
          <w:sz w:val="24"/>
          <w:szCs w:val="24"/>
        </w:rPr>
        <w:t>（六）持续优化金融服务。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健全全国一体化融资信用服务平台网络，扩大涉企信用信息共享范围。优化征信市场布局，推动征信机构增加征信有效供给，推动信用评级机构提升评级质量和服务水平。优化动产融资统一登记公示系统和应收账款融资服务平台功能。持续推进知识产权质押融资。推进政府采购合同融资。发挥国家产融合作平台作用，强化金融服务供给，精准对接企业融资需求。实施科技创新专项担保计划，加大国家融资担保基金对科技型中小企业风险分担和补偿力度。实施“科技产业金融一体化”专项，加强科技型企业全生命周期金融服务，引导早期投资和创业投资支持独角兽企业培育发展。</w:t>
      </w:r>
      <w:r w:rsidRPr="00765A4D">
        <w:rPr>
          <w:rFonts w:ascii="Arial" w:eastAsia="宋体" w:hAnsi="Arial" w:cs="Arial"/>
          <w:kern w:val="0"/>
          <w:sz w:val="24"/>
          <w:szCs w:val="24"/>
        </w:rPr>
        <w:br/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Arial" w:eastAsia="宋体" w:hAnsi="Arial" w:cs="Arial"/>
          <w:b/>
          <w:bCs/>
          <w:kern w:val="0"/>
          <w:sz w:val="24"/>
          <w:szCs w:val="24"/>
        </w:rPr>
        <w:t>（七）降低中小</w:t>
      </w:r>
      <w:proofErr w:type="gramStart"/>
      <w:r w:rsidRPr="00765A4D">
        <w:rPr>
          <w:rFonts w:ascii="Arial" w:eastAsia="宋体" w:hAnsi="Arial" w:cs="Arial"/>
          <w:b/>
          <w:bCs/>
          <w:kern w:val="0"/>
          <w:sz w:val="24"/>
          <w:szCs w:val="24"/>
        </w:rPr>
        <w:t>微企业汇率</w:t>
      </w:r>
      <w:proofErr w:type="gramEnd"/>
      <w:r w:rsidRPr="00765A4D">
        <w:rPr>
          <w:rFonts w:ascii="Arial" w:eastAsia="宋体" w:hAnsi="Arial" w:cs="Arial"/>
          <w:b/>
          <w:bCs/>
          <w:kern w:val="0"/>
          <w:sz w:val="24"/>
          <w:szCs w:val="24"/>
        </w:rPr>
        <w:t>避险成本。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推动银行建立健全服务</w:t>
      </w:r>
      <w:proofErr w:type="gramStart"/>
      <w:r w:rsidRPr="00765A4D">
        <w:rPr>
          <w:rFonts w:ascii="宋体" w:eastAsia="宋体" w:hAnsi="宋体" w:cs="宋体" w:hint="eastAsia"/>
          <w:kern w:val="0"/>
          <w:sz w:val="24"/>
          <w:szCs w:val="24"/>
        </w:rPr>
        <w:t>企业汇率</w:t>
      </w:r>
      <w:proofErr w:type="gramEnd"/>
      <w:r w:rsidRPr="00765A4D">
        <w:rPr>
          <w:rFonts w:ascii="宋体" w:eastAsia="宋体" w:hAnsi="宋体" w:cs="宋体" w:hint="eastAsia"/>
          <w:kern w:val="0"/>
          <w:sz w:val="24"/>
          <w:szCs w:val="24"/>
        </w:rPr>
        <w:t>风险管理长效机制，丰富汇率避险产品，加强宣传培训，优化中小</w:t>
      </w:r>
      <w:proofErr w:type="gramStart"/>
      <w:r w:rsidRPr="00765A4D">
        <w:rPr>
          <w:rFonts w:ascii="宋体" w:eastAsia="宋体" w:hAnsi="宋体" w:cs="宋体" w:hint="eastAsia"/>
          <w:kern w:val="0"/>
          <w:sz w:val="24"/>
          <w:szCs w:val="24"/>
        </w:rPr>
        <w:t>微企业</w:t>
      </w:r>
      <w:proofErr w:type="gramEnd"/>
      <w:r w:rsidRPr="00765A4D">
        <w:rPr>
          <w:rFonts w:ascii="宋体" w:eastAsia="宋体" w:hAnsi="宋体" w:cs="宋体" w:hint="eastAsia"/>
          <w:kern w:val="0"/>
          <w:sz w:val="24"/>
          <w:szCs w:val="24"/>
        </w:rPr>
        <w:t>授信和保证金管理制度，加强</w:t>
      </w:r>
      <w:proofErr w:type="gramStart"/>
      <w:r w:rsidRPr="00765A4D">
        <w:rPr>
          <w:rFonts w:ascii="宋体" w:eastAsia="宋体" w:hAnsi="宋体" w:cs="宋体" w:hint="eastAsia"/>
          <w:kern w:val="0"/>
          <w:sz w:val="24"/>
          <w:szCs w:val="24"/>
        </w:rPr>
        <w:t>政银担</w:t>
      </w:r>
      <w:proofErr w:type="gramEnd"/>
      <w:r w:rsidRPr="00765A4D">
        <w:rPr>
          <w:rFonts w:ascii="宋体" w:eastAsia="宋体" w:hAnsi="宋体" w:cs="宋体" w:hint="eastAsia"/>
          <w:kern w:val="0"/>
          <w:sz w:val="24"/>
          <w:szCs w:val="24"/>
        </w:rPr>
        <w:t>多方协作，共同降低中小</w:t>
      </w:r>
      <w:proofErr w:type="gramStart"/>
      <w:r w:rsidRPr="00765A4D">
        <w:rPr>
          <w:rFonts w:ascii="宋体" w:eastAsia="宋体" w:hAnsi="宋体" w:cs="宋体" w:hint="eastAsia"/>
          <w:kern w:val="0"/>
          <w:sz w:val="24"/>
          <w:szCs w:val="24"/>
        </w:rPr>
        <w:t>微企业</w:t>
      </w:r>
      <w:proofErr w:type="gramEnd"/>
      <w:r w:rsidRPr="00765A4D">
        <w:rPr>
          <w:rFonts w:ascii="宋体" w:eastAsia="宋体" w:hAnsi="宋体" w:cs="宋体" w:hint="eastAsia"/>
          <w:kern w:val="0"/>
          <w:sz w:val="24"/>
          <w:szCs w:val="24"/>
        </w:rPr>
        <w:t>外汇套保成本。</w:t>
      </w:r>
      <w:r w:rsidRPr="00765A4D">
        <w:rPr>
          <w:rFonts w:ascii="Arial" w:eastAsia="宋体" w:hAnsi="Arial" w:cs="Arial"/>
          <w:kern w:val="0"/>
          <w:sz w:val="24"/>
          <w:szCs w:val="24"/>
        </w:rPr>
        <w:br/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Arial" w:eastAsia="宋体" w:hAnsi="Arial" w:cs="Arial"/>
          <w:b/>
          <w:bCs/>
          <w:kern w:val="0"/>
          <w:sz w:val="24"/>
          <w:szCs w:val="24"/>
        </w:rPr>
        <w:t> </w:t>
      </w:r>
      <w:r w:rsidRPr="00765A4D">
        <w:rPr>
          <w:rFonts w:ascii="Arial" w:eastAsia="宋体" w:hAnsi="Arial" w:cs="Arial"/>
          <w:b/>
          <w:bCs/>
          <w:kern w:val="0"/>
          <w:sz w:val="24"/>
          <w:szCs w:val="24"/>
        </w:rPr>
        <w:t>三、持续降低制度性交易成本</w:t>
      </w:r>
      <w:r w:rsidRPr="00765A4D">
        <w:rPr>
          <w:rFonts w:ascii="Arial" w:eastAsia="宋体" w:hAnsi="Arial" w:cs="Arial"/>
          <w:kern w:val="0"/>
          <w:sz w:val="24"/>
          <w:szCs w:val="24"/>
        </w:rPr>
        <w:br/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Arial" w:eastAsia="宋体" w:hAnsi="Arial" w:cs="Arial"/>
          <w:b/>
          <w:bCs/>
          <w:kern w:val="0"/>
          <w:sz w:val="24"/>
          <w:szCs w:val="24"/>
        </w:rPr>
        <w:t>（八）营造公平竞争市场环境。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制定关于完善市场准入制度的意见，修订新版市场准入负面清单，推动市场准入效能评估全覆盖。持续深入开展民生领域反垄断执法专项行动，加强重点领域反垄断监管执法。开展涉及不平等对待企业的行政法规、规章、规范性文件和政策性文件清理工作，降低企业制度性交易成本。</w:t>
      </w:r>
      <w:r w:rsidRPr="00765A4D">
        <w:rPr>
          <w:rFonts w:ascii="Arial" w:eastAsia="宋体" w:hAnsi="Arial" w:cs="Arial"/>
          <w:kern w:val="0"/>
          <w:sz w:val="24"/>
          <w:szCs w:val="24"/>
        </w:rPr>
        <w:br/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Arial" w:eastAsia="宋体" w:hAnsi="Arial" w:cs="Arial"/>
          <w:b/>
          <w:bCs/>
          <w:kern w:val="0"/>
          <w:sz w:val="24"/>
          <w:szCs w:val="24"/>
        </w:rPr>
        <w:t>（九）加强知识产权保护。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加大知识产权行政保护力度。提升知识产权公共服务效能，加快建设国家知识产权保护信息平台，强化知识产权数据开放共享，新建一批国家重点产业专利专题数据库，持续优化知识产权信息公共服务产品和工具。</w:t>
      </w:r>
      <w:r w:rsidRPr="00765A4D">
        <w:rPr>
          <w:rFonts w:ascii="Arial" w:eastAsia="宋体" w:hAnsi="Arial" w:cs="Arial"/>
          <w:kern w:val="0"/>
          <w:sz w:val="24"/>
          <w:szCs w:val="24"/>
        </w:rPr>
        <w:br/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Arial" w:eastAsia="宋体" w:hAnsi="Arial" w:cs="Arial"/>
          <w:b/>
          <w:bCs/>
          <w:kern w:val="0"/>
          <w:sz w:val="24"/>
          <w:szCs w:val="24"/>
        </w:rPr>
        <w:t>（十）规范招投标和政府采购制度。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积极推进招标投标法及其实施条例、政府采购法修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改工作。出台招标投标领域公平竞争审查规则，从源头上减少排斥、限制公平竞争的规定和做法。完善招标投标全流程电子化交易技术标准和数据规范，积极推动数字证书（CA）全国互认，降低企业交易成本。开展政府采购领域“四类”违法违规行为专项整治，加强常态</w:t>
      </w:r>
      <w:proofErr w:type="gramStart"/>
      <w:r w:rsidRPr="00765A4D">
        <w:rPr>
          <w:rFonts w:ascii="宋体" w:eastAsia="宋体" w:hAnsi="宋体" w:cs="宋体" w:hint="eastAsia"/>
          <w:kern w:val="0"/>
          <w:sz w:val="24"/>
          <w:szCs w:val="24"/>
        </w:rPr>
        <w:t>化行政</w:t>
      </w:r>
      <w:proofErr w:type="gramEnd"/>
      <w:r w:rsidRPr="00765A4D">
        <w:rPr>
          <w:rFonts w:ascii="宋体" w:eastAsia="宋体" w:hAnsi="宋体" w:cs="宋体" w:hint="eastAsia"/>
          <w:kern w:val="0"/>
          <w:sz w:val="24"/>
          <w:szCs w:val="24"/>
        </w:rPr>
        <w:t>执法检查，创新手段提升监管效能。</w:t>
      </w:r>
      <w:r w:rsidRPr="00765A4D">
        <w:rPr>
          <w:rFonts w:ascii="Arial" w:eastAsia="宋体" w:hAnsi="Arial" w:cs="Arial"/>
          <w:kern w:val="0"/>
          <w:sz w:val="24"/>
          <w:szCs w:val="24"/>
        </w:rPr>
        <w:br/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Arial" w:eastAsia="宋体" w:hAnsi="Arial" w:cs="Arial"/>
          <w:b/>
          <w:bCs/>
          <w:kern w:val="0"/>
          <w:sz w:val="24"/>
          <w:szCs w:val="24"/>
        </w:rPr>
        <w:t>（十一）健全防范化解拖欠企业账款长效机制。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强化落实《保障中小企业款项支付条例》，推动机关、事业单位、大型企业及时支付中小企业货物、工程、服务款项。</w:t>
      </w:r>
      <w:r w:rsidRPr="00765A4D">
        <w:rPr>
          <w:rFonts w:ascii="Arial" w:eastAsia="宋体" w:hAnsi="Arial" w:cs="Arial"/>
          <w:kern w:val="0"/>
          <w:sz w:val="24"/>
          <w:szCs w:val="24"/>
        </w:rPr>
        <w:br/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Arial" w:eastAsia="宋体" w:hAnsi="Arial" w:cs="Arial"/>
          <w:b/>
          <w:bCs/>
          <w:kern w:val="0"/>
          <w:sz w:val="24"/>
          <w:szCs w:val="24"/>
        </w:rPr>
        <w:t>（十二）优化外商投资环境。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继续缩减外资准入负面清单，全面取消制造业领域外资准入限制措施，放宽有关服务业市场准入。扩大鼓励外商投资产业目录。加强外商投资服务保障。</w:t>
      </w:r>
      <w:r w:rsidRPr="00765A4D">
        <w:rPr>
          <w:rFonts w:ascii="Arial" w:eastAsia="宋体" w:hAnsi="Arial" w:cs="Arial"/>
          <w:kern w:val="0"/>
          <w:sz w:val="24"/>
          <w:szCs w:val="24"/>
        </w:rPr>
        <w:br/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Arial" w:eastAsia="宋体" w:hAnsi="Arial" w:cs="Arial"/>
          <w:b/>
          <w:bCs/>
          <w:kern w:val="0"/>
          <w:sz w:val="24"/>
          <w:szCs w:val="24"/>
        </w:rPr>
        <w:t>四、缓解企业人工成本压力</w:t>
      </w:r>
      <w:r w:rsidRPr="00765A4D">
        <w:rPr>
          <w:rFonts w:ascii="Arial" w:eastAsia="宋体" w:hAnsi="Arial" w:cs="Arial"/>
          <w:kern w:val="0"/>
          <w:sz w:val="24"/>
          <w:szCs w:val="24"/>
        </w:rPr>
        <w:br/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Arial" w:eastAsia="宋体" w:hAnsi="Arial" w:cs="Arial"/>
          <w:b/>
          <w:bCs/>
          <w:kern w:val="0"/>
          <w:sz w:val="24"/>
          <w:szCs w:val="24"/>
        </w:rPr>
        <w:t>（十三）继续阶段性降低部分社会保险费率。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延续实施阶段性降低失业保险、工伤保险费率政策，实施期限延长至2025年底。</w:t>
      </w:r>
      <w:r w:rsidRPr="00765A4D">
        <w:rPr>
          <w:rFonts w:ascii="Arial" w:eastAsia="宋体" w:hAnsi="Arial" w:cs="Arial"/>
          <w:kern w:val="0"/>
          <w:sz w:val="24"/>
          <w:szCs w:val="24"/>
        </w:rPr>
        <w:br/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Arial" w:eastAsia="宋体" w:hAnsi="Arial" w:cs="Arial"/>
          <w:b/>
          <w:bCs/>
          <w:kern w:val="0"/>
          <w:sz w:val="24"/>
          <w:szCs w:val="24"/>
        </w:rPr>
        <w:t> </w:t>
      </w:r>
      <w:r w:rsidRPr="00765A4D">
        <w:rPr>
          <w:rFonts w:ascii="Arial" w:eastAsia="宋体" w:hAnsi="Arial" w:cs="Arial"/>
          <w:b/>
          <w:bCs/>
          <w:kern w:val="0"/>
          <w:sz w:val="24"/>
          <w:szCs w:val="24"/>
        </w:rPr>
        <w:t>（十四）支持企业</w:t>
      </w:r>
      <w:proofErr w:type="gramStart"/>
      <w:r w:rsidRPr="00765A4D">
        <w:rPr>
          <w:rFonts w:ascii="Arial" w:eastAsia="宋体" w:hAnsi="Arial" w:cs="Arial"/>
          <w:b/>
          <w:bCs/>
          <w:kern w:val="0"/>
          <w:sz w:val="24"/>
          <w:szCs w:val="24"/>
        </w:rPr>
        <w:t>稳岗扩岗</w:t>
      </w:r>
      <w:proofErr w:type="gramEnd"/>
      <w:r w:rsidRPr="00765A4D">
        <w:rPr>
          <w:rFonts w:ascii="Arial" w:eastAsia="宋体" w:hAnsi="Arial" w:cs="Arial"/>
          <w:b/>
          <w:bCs/>
          <w:kern w:val="0"/>
          <w:sz w:val="24"/>
          <w:szCs w:val="24"/>
        </w:rPr>
        <w:t>。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落实和</w:t>
      </w:r>
      <w:proofErr w:type="gramStart"/>
      <w:r w:rsidRPr="00765A4D">
        <w:rPr>
          <w:rFonts w:ascii="宋体" w:eastAsia="宋体" w:hAnsi="宋体" w:cs="宋体" w:hint="eastAsia"/>
          <w:kern w:val="0"/>
          <w:sz w:val="24"/>
          <w:szCs w:val="24"/>
        </w:rPr>
        <w:t>完善稳岗</w:t>
      </w:r>
      <w:proofErr w:type="gramEnd"/>
      <w:r w:rsidRPr="00765A4D">
        <w:rPr>
          <w:rFonts w:ascii="宋体" w:eastAsia="宋体" w:hAnsi="宋体" w:cs="宋体" w:hint="eastAsia"/>
          <w:kern w:val="0"/>
          <w:sz w:val="24"/>
          <w:szCs w:val="24"/>
        </w:rPr>
        <w:t>返还、专项贷款、就业和社保补贴等政策，加强对就业容量大的行业企业支持。</w:t>
      </w:r>
      <w:r w:rsidRPr="00765A4D">
        <w:rPr>
          <w:rFonts w:ascii="Arial" w:eastAsia="宋体" w:hAnsi="Arial" w:cs="Arial"/>
          <w:kern w:val="0"/>
          <w:sz w:val="24"/>
          <w:szCs w:val="24"/>
        </w:rPr>
        <w:br/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Arial" w:eastAsia="宋体" w:hAnsi="Arial" w:cs="Arial"/>
          <w:b/>
          <w:bCs/>
          <w:kern w:val="0"/>
          <w:sz w:val="24"/>
          <w:szCs w:val="24"/>
        </w:rPr>
        <w:t>（十五）加强公共实训基地共建共享。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推动公共实训基地建设扩容提质，针对重点群体加大培训服务力度，强化技能人才培养和企业用工保障。</w:t>
      </w:r>
      <w:r w:rsidRPr="00765A4D">
        <w:rPr>
          <w:rFonts w:ascii="Arial" w:eastAsia="宋体" w:hAnsi="Arial" w:cs="Arial"/>
          <w:kern w:val="0"/>
          <w:sz w:val="24"/>
          <w:szCs w:val="24"/>
        </w:rPr>
        <w:br/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Arial" w:eastAsia="宋体" w:hAnsi="Arial" w:cs="Arial"/>
          <w:b/>
          <w:bCs/>
          <w:kern w:val="0"/>
          <w:sz w:val="24"/>
          <w:szCs w:val="24"/>
        </w:rPr>
        <w:t>五、降低企业用地原材料成本</w:t>
      </w:r>
      <w:r w:rsidRPr="00765A4D">
        <w:rPr>
          <w:rFonts w:ascii="Arial" w:eastAsia="宋体" w:hAnsi="Arial" w:cs="Arial"/>
          <w:kern w:val="0"/>
          <w:sz w:val="24"/>
          <w:szCs w:val="24"/>
        </w:rPr>
        <w:br/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Arial" w:eastAsia="宋体" w:hAnsi="Arial" w:cs="Arial"/>
          <w:b/>
          <w:bCs/>
          <w:kern w:val="0"/>
          <w:sz w:val="24"/>
          <w:szCs w:val="24"/>
        </w:rPr>
        <w:t> </w:t>
      </w:r>
      <w:r w:rsidRPr="00765A4D">
        <w:rPr>
          <w:rFonts w:ascii="Arial" w:eastAsia="宋体" w:hAnsi="Arial" w:cs="Arial"/>
          <w:b/>
          <w:bCs/>
          <w:kern w:val="0"/>
          <w:sz w:val="24"/>
          <w:szCs w:val="24"/>
        </w:rPr>
        <w:t>（十六）降低企业用地成本。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持续推进工业用地由出让为主向出让、租赁并重转变。健全长期租赁、先租后让、弹性年期出让等多元化供应体系。研究地下空间开发利用政策，实行向下递减的地价优惠政策，降低企业初期用地成本。指导地方因地制宜适时调整更新基准地价，进一步提升土地要素的支撑保障能力。</w:t>
      </w:r>
      <w:r w:rsidRPr="00765A4D">
        <w:rPr>
          <w:rFonts w:ascii="Arial" w:eastAsia="宋体" w:hAnsi="Arial" w:cs="Arial"/>
          <w:kern w:val="0"/>
          <w:sz w:val="24"/>
          <w:szCs w:val="24"/>
        </w:rPr>
        <w:br/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Arial" w:eastAsia="宋体" w:hAnsi="Arial" w:cs="Arial"/>
          <w:b/>
          <w:bCs/>
          <w:kern w:val="0"/>
          <w:sz w:val="24"/>
          <w:szCs w:val="24"/>
        </w:rPr>
        <w:t>（十七）加强能源资源保障。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推进实施新一轮找矿突破战略行动，加强重要能源、矿产资源国内勘探开发和增储上产，大力推动支撑性电源建设投产，提高能源资源安全保障能力。落实好《矿业权出让收益征收办法》，推动矿产相关行业健康有序发展。</w:t>
      </w:r>
      <w:r w:rsidRPr="00765A4D">
        <w:rPr>
          <w:rFonts w:ascii="Arial" w:eastAsia="宋体" w:hAnsi="Arial" w:cs="Arial"/>
          <w:kern w:val="0"/>
          <w:sz w:val="24"/>
          <w:szCs w:val="24"/>
        </w:rPr>
        <w:br/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Arial" w:eastAsia="宋体" w:hAnsi="Arial" w:cs="Arial"/>
          <w:b/>
          <w:bCs/>
          <w:kern w:val="0"/>
          <w:sz w:val="24"/>
          <w:szCs w:val="24"/>
        </w:rPr>
        <w:t> </w:t>
      </w:r>
      <w:r w:rsidRPr="00765A4D">
        <w:rPr>
          <w:rFonts w:ascii="Arial" w:eastAsia="宋体" w:hAnsi="Arial" w:cs="Arial"/>
          <w:b/>
          <w:bCs/>
          <w:kern w:val="0"/>
          <w:sz w:val="24"/>
          <w:szCs w:val="24"/>
        </w:rPr>
        <w:t>六、推进物流提质增效降本</w:t>
      </w:r>
      <w:r w:rsidRPr="00765A4D">
        <w:rPr>
          <w:rFonts w:ascii="Arial" w:eastAsia="宋体" w:hAnsi="Arial" w:cs="Arial"/>
          <w:kern w:val="0"/>
          <w:sz w:val="24"/>
          <w:szCs w:val="24"/>
        </w:rPr>
        <w:br/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Arial" w:eastAsia="宋体" w:hAnsi="Arial" w:cs="Arial"/>
          <w:b/>
          <w:bCs/>
          <w:kern w:val="0"/>
          <w:sz w:val="24"/>
          <w:szCs w:val="24"/>
        </w:rPr>
        <w:t>（十八）实施降低物流成本行动。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研究制定《有效降低全社会物流成本行动方案》，强化政策协同和工作合力，有力推动降低全社会物流成本，增强企业和实体经济竞争力。</w:t>
      </w:r>
      <w:r w:rsidRPr="00765A4D">
        <w:rPr>
          <w:rFonts w:ascii="Arial" w:eastAsia="宋体" w:hAnsi="Arial" w:cs="Arial"/>
          <w:kern w:val="0"/>
          <w:sz w:val="24"/>
          <w:szCs w:val="24"/>
        </w:rPr>
        <w:br/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Arial" w:eastAsia="宋体" w:hAnsi="Arial" w:cs="Arial"/>
          <w:b/>
          <w:bCs/>
          <w:kern w:val="0"/>
          <w:sz w:val="24"/>
          <w:szCs w:val="24"/>
        </w:rPr>
        <w:t>（十九）完善现代物流体系。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稳步推进国家物流枢纽、国家骨干冷链物流基地建设，促进现代物流高质量发展。新增支持一批城市开展国家综合货运枢纽</w:t>
      </w:r>
      <w:proofErr w:type="gramStart"/>
      <w:r w:rsidRPr="00765A4D">
        <w:rPr>
          <w:rFonts w:ascii="宋体" w:eastAsia="宋体" w:hAnsi="宋体" w:cs="宋体" w:hint="eastAsia"/>
          <w:kern w:val="0"/>
          <w:sz w:val="24"/>
          <w:szCs w:val="24"/>
        </w:rPr>
        <w:t>补链强链</w:t>
      </w:r>
      <w:proofErr w:type="gramEnd"/>
      <w:r w:rsidRPr="00765A4D">
        <w:rPr>
          <w:rFonts w:ascii="宋体" w:eastAsia="宋体" w:hAnsi="宋体" w:cs="宋体" w:hint="eastAsia"/>
          <w:kern w:val="0"/>
          <w:sz w:val="24"/>
          <w:szCs w:val="24"/>
        </w:rPr>
        <w:t>，推动</w:t>
      </w:r>
      <w:proofErr w:type="gramStart"/>
      <w:r w:rsidRPr="00765A4D">
        <w:rPr>
          <w:rFonts w:ascii="宋体" w:eastAsia="宋体" w:hAnsi="宋体" w:cs="宋体" w:hint="eastAsia"/>
          <w:kern w:val="0"/>
          <w:sz w:val="24"/>
          <w:szCs w:val="24"/>
        </w:rPr>
        <w:t>跨运输</w:t>
      </w:r>
      <w:proofErr w:type="gramEnd"/>
      <w:r w:rsidRPr="00765A4D">
        <w:rPr>
          <w:rFonts w:ascii="宋体" w:eastAsia="宋体" w:hAnsi="宋体" w:cs="宋体" w:hint="eastAsia"/>
          <w:kern w:val="0"/>
          <w:sz w:val="24"/>
          <w:szCs w:val="24"/>
        </w:rPr>
        <w:t>方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式一体化融合。继续实施县域商业建设行动，支持建设改造县级物流配送中心和乡镇快递物流站点，完善仓储、运输、配送等设施，加快补齐农村商业设施短板，健全县乡村物流配送体系。</w:t>
      </w:r>
      <w:r w:rsidRPr="00765A4D">
        <w:rPr>
          <w:rFonts w:ascii="Arial" w:eastAsia="宋体" w:hAnsi="Arial" w:cs="Arial"/>
          <w:kern w:val="0"/>
          <w:sz w:val="24"/>
          <w:szCs w:val="24"/>
        </w:rPr>
        <w:br/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Arial" w:eastAsia="宋体" w:hAnsi="Arial" w:cs="Arial"/>
          <w:b/>
          <w:bCs/>
          <w:kern w:val="0"/>
          <w:sz w:val="24"/>
          <w:szCs w:val="24"/>
        </w:rPr>
        <w:t>（二十）调整优化运输结构。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大力发展多式联运，支持引导多式联运“一单制”“一箱制”发展。加快推进港口、物流园区等铁路专用线建设，大力推动大宗货物和中长距离货物运输“公转水”“公转铁”，提高运输组织效率，促进港口集装箱铁水联运量保持较快增长，推动港口、物流园区、工矿企业大宗货物绿色集疏运比例稳步提升。</w:t>
      </w:r>
      <w:r w:rsidRPr="00765A4D">
        <w:rPr>
          <w:rFonts w:ascii="Arial" w:eastAsia="宋体" w:hAnsi="Arial" w:cs="Arial"/>
          <w:kern w:val="0"/>
          <w:sz w:val="24"/>
          <w:szCs w:val="24"/>
        </w:rPr>
        <w:br/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Arial" w:eastAsia="宋体" w:hAnsi="Arial" w:cs="Arial"/>
          <w:b/>
          <w:bCs/>
          <w:kern w:val="0"/>
          <w:sz w:val="24"/>
          <w:szCs w:val="24"/>
        </w:rPr>
        <w:t>七、激励企业内部挖潜</w:t>
      </w:r>
      <w:r w:rsidRPr="00765A4D">
        <w:rPr>
          <w:rFonts w:ascii="Arial" w:eastAsia="宋体" w:hAnsi="Arial" w:cs="Arial"/>
          <w:kern w:val="0"/>
          <w:sz w:val="24"/>
          <w:szCs w:val="24"/>
        </w:rPr>
        <w:br/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Arial" w:eastAsia="宋体" w:hAnsi="Arial" w:cs="Arial"/>
          <w:b/>
          <w:bCs/>
          <w:kern w:val="0"/>
          <w:sz w:val="24"/>
          <w:szCs w:val="24"/>
        </w:rPr>
        <w:t>（二十一）支持企业转型升级降本。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强化对制造业企业技术改造的资金支持，落实技术改造投资相关税收优惠政策，推进传统产业高端化、智能化、绿色化转型。研究制定促进专精特新中小企业高质量发展的政策措施，加大对重点产业链中小企业支持力度。积极推进中小企业数字化转型。优化完善首台（套）重大技术装备保险补偿政策，聚焦国家战略领域，促进首台（套）重大技术装备推广应用和迭代创新。</w:t>
      </w:r>
      <w:r w:rsidRPr="00765A4D">
        <w:rPr>
          <w:rFonts w:ascii="Arial" w:eastAsia="宋体" w:hAnsi="Arial" w:cs="Arial"/>
          <w:kern w:val="0"/>
          <w:sz w:val="24"/>
          <w:szCs w:val="24"/>
        </w:rPr>
        <w:br/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Arial" w:eastAsia="宋体" w:hAnsi="Arial" w:cs="Arial"/>
          <w:b/>
          <w:bCs/>
          <w:kern w:val="0"/>
          <w:sz w:val="24"/>
          <w:szCs w:val="24"/>
        </w:rPr>
        <w:t>（二十二）引导企业提高生产经营效率。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深入实施智能制造工程，支持企业建设智能工厂和智慧供应链，构建基于场景的企业标准群。实施制造业数字化转型行动，鼓励企业开展数字化转型贯标、工业互联网平台贯标，以两化深度融合推动企业提升生产、经营等环节数字化水平，提升生产和管理效率，降低运营成本。</w:t>
      </w:r>
      <w:r w:rsidRPr="00765A4D">
        <w:rPr>
          <w:rFonts w:ascii="Arial" w:eastAsia="宋体" w:hAnsi="Arial" w:cs="Arial"/>
          <w:kern w:val="0"/>
          <w:sz w:val="24"/>
          <w:szCs w:val="24"/>
        </w:rPr>
        <w:br/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 </w:t>
      </w:r>
      <w:r w:rsidRPr="00765A4D">
        <w:rPr>
          <w:rFonts w:ascii="宋体" w:eastAsia="宋体" w:hAnsi="宋体" w:cs="宋体" w:hint="eastAsia"/>
          <w:kern w:val="0"/>
          <w:sz w:val="24"/>
          <w:szCs w:val="24"/>
        </w:rPr>
        <w:t>各有关方面要进一步</w:t>
      </w:r>
      <w:proofErr w:type="gramStart"/>
      <w:r w:rsidRPr="00765A4D">
        <w:rPr>
          <w:rFonts w:ascii="宋体" w:eastAsia="宋体" w:hAnsi="宋体" w:cs="宋体" w:hint="eastAsia"/>
          <w:kern w:val="0"/>
          <w:sz w:val="24"/>
          <w:szCs w:val="24"/>
        </w:rPr>
        <w:t>完善降</w:t>
      </w:r>
      <w:proofErr w:type="gramEnd"/>
      <w:r w:rsidRPr="00765A4D">
        <w:rPr>
          <w:rFonts w:ascii="宋体" w:eastAsia="宋体" w:hAnsi="宋体" w:cs="宋体" w:hint="eastAsia"/>
          <w:kern w:val="0"/>
          <w:sz w:val="24"/>
          <w:szCs w:val="24"/>
        </w:rPr>
        <w:t>成本工作协调推进机制，强化协同联动，密切跟踪重点任务进展情况，扎实推进各项政策落地见效。加强降成本政策宣传，让企业了解并用好各项优惠政策。深入开展企业成本调查研究，认真听取和吸纳企业意见建议，积极回应企业关切，不断完善相关政策。降低实体经济企业成本工作部际联席会议将继续加强对好经验、好做法的梳理，并做好宣传和推广。</w:t>
      </w:r>
      <w:r w:rsidRPr="00765A4D">
        <w:rPr>
          <w:rFonts w:ascii="Arial" w:eastAsia="宋体" w:hAnsi="Arial" w:cs="Arial"/>
          <w:kern w:val="0"/>
          <w:sz w:val="24"/>
          <w:szCs w:val="24"/>
        </w:rPr>
        <w:br/>
      </w:r>
    </w:p>
    <w:p w:rsidR="00765A4D" w:rsidRPr="00765A4D" w:rsidRDefault="00765A4D" w:rsidP="00765A4D">
      <w:pPr>
        <w:widowControl/>
        <w:spacing w:line="500" w:lineRule="exact"/>
        <w:jc w:val="center"/>
        <w:rPr>
          <w:rFonts w:ascii="Arial" w:eastAsia="宋体" w:hAnsi="Arial" w:cs="Arial"/>
          <w:kern w:val="0"/>
          <w:sz w:val="24"/>
          <w:szCs w:val="24"/>
        </w:rPr>
      </w:pPr>
      <w:r>
        <w:rPr>
          <w:rFonts w:ascii="宋体" w:eastAsia="宋体" w:hAnsi="宋体" w:cs="Arial" w:hint="eastAsia"/>
          <w:kern w:val="0"/>
          <w:sz w:val="24"/>
          <w:szCs w:val="24"/>
        </w:rPr>
        <w:t xml:space="preserve">                                       </w:t>
      </w:r>
      <w:r w:rsidRPr="00765A4D">
        <w:rPr>
          <w:rFonts w:ascii="宋体" w:eastAsia="宋体" w:hAnsi="宋体" w:cs="Arial" w:hint="eastAsia"/>
          <w:kern w:val="0"/>
          <w:sz w:val="24"/>
          <w:szCs w:val="24"/>
        </w:rPr>
        <w:t>国家发展改革委办公厅</w:t>
      </w:r>
    </w:p>
    <w:p w:rsidR="00765A4D" w:rsidRPr="00765A4D" w:rsidRDefault="00765A4D" w:rsidP="00765A4D">
      <w:pPr>
        <w:widowControl/>
        <w:spacing w:line="500" w:lineRule="exact"/>
        <w:jc w:val="center"/>
        <w:rPr>
          <w:rFonts w:ascii="Arial" w:eastAsia="宋体" w:hAnsi="Arial" w:cs="Arial"/>
          <w:kern w:val="0"/>
          <w:sz w:val="24"/>
          <w:szCs w:val="24"/>
        </w:rPr>
      </w:pPr>
      <w:r>
        <w:rPr>
          <w:rFonts w:ascii="宋体" w:eastAsia="宋体" w:hAnsi="宋体" w:cs="Arial" w:hint="eastAsia"/>
          <w:kern w:val="0"/>
          <w:sz w:val="24"/>
          <w:szCs w:val="24"/>
        </w:rPr>
        <w:t xml:space="preserve">                                       </w:t>
      </w:r>
      <w:r w:rsidRPr="00765A4D">
        <w:rPr>
          <w:rFonts w:ascii="宋体" w:eastAsia="宋体" w:hAnsi="宋体" w:cs="Arial" w:hint="eastAsia"/>
          <w:kern w:val="0"/>
          <w:sz w:val="24"/>
          <w:szCs w:val="24"/>
        </w:rPr>
        <w:t>工业和信息化部办公厅</w:t>
      </w:r>
    </w:p>
    <w:p w:rsidR="00765A4D" w:rsidRPr="00765A4D" w:rsidRDefault="00765A4D" w:rsidP="00765A4D">
      <w:pPr>
        <w:widowControl/>
        <w:spacing w:line="500" w:lineRule="exact"/>
        <w:jc w:val="center"/>
        <w:rPr>
          <w:rFonts w:ascii="Arial" w:eastAsia="宋体" w:hAnsi="Arial" w:cs="Arial"/>
          <w:kern w:val="0"/>
          <w:sz w:val="24"/>
          <w:szCs w:val="24"/>
        </w:rPr>
      </w:pPr>
      <w:r>
        <w:rPr>
          <w:rFonts w:ascii="宋体" w:eastAsia="宋体" w:hAnsi="宋体" w:cs="Arial" w:hint="eastAsia"/>
          <w:kern w:val="0"/>
          <w:sz w:val="24"/>
          <w:szCs w:val="24"/>
        </w:rPr>
        <w:t xml:space="preserve">                                      </w:t>
      </w:r>
      <w:r w:rsidRPr="00765A4D">
        <w:rPr>
          <w:rFonts w:ascii="宋体" w:eastAsia="宋体" w:hAnsi="宋体" w:cs="Arial" w:hint="eastAsia"/>
          <w:kern w:val="0"/>
          <w:sz w:val="24"/>
          <w:szCs w:val="24"/>
        </w:rPr>
        <w:t>财政部办公厅</w:t>
      </w:r>
    </w:p>
    <w:p w:rsidR="00765A4D" w:rsidRPr="00765A4D" w:rsidRDefault="00765A4D" w:rsidP="00765A4D">
      <w:pPr>
        <w:widowControl/>
        <w:spacing w:line="500" w:lineRule="exact"/>
        <w:jc w:val="center"/>
        <w:rPr>
          <w:rFonts w:ascii="Arial" w:eastAsia="宋体" w:hAnsi="Arial" w:cs="Arial"/>
          <w:kern w:val="0"/>
          <w:sz w:val="24"/>
          <w:szCs w:val="24"/>
        </w:rPr>
      </w:pPr>
      <w:r>
        <w:rPr>
          <w:rFonts w:ascii="宋体" w:eastAsia="宋体" w:hAnsi="宋体" w:cs="Arial" w:hint="eastAsia"/>
          <w:kern w:val="0"/>
          <w:sz w:val="24"/>
          <w:szCs w:val="24"/>
        </w:rPr>
        <w:t xml:space="preserve">                                       </w:t>
      </w:r>
      <w:r w:rsidRPr="00765A4D">
        <w:rPr>
          <w:rFonts w:ascii="宋体" w:eastAsia="宋体" w:hAnsi="宋体" w:cs="Arial" w:hint="eastAsia"/>
          <w:kern w:val="0"/>
          <w:sz w:val="24"/>
          <w:szCs w:val="24"/>
        </w:rPr>
        <w:t>人民银行办公厅</w:t>
      </w:r>
    </w:p>
    <w:p w:rsidR="00056BAB" w:rsidRPr="00765A4D" w:rsidRDefault="00765A4D" w:rsidP="00765A4D">
      <w:pPr>
        <w:widowControl/>
        <w:spacing w:line="500" w:lineRule="exact"/>
        <w:jc w:val="center"/>
      </w:pPr>
      <w:r>
        <w:rPr>
          <w:rFonts w:ascii="宋体" w:eastAsia="宋体" w:hAnsi="宋体" w:cs="Arial" w:hint="eastAsia"/>
          <w:kern w:val="0"/>
          <w:sz w:val="24"/>
          <w:szCs w:val="24"/>
        </w:rPr>
        <w:t xml:space="preserve">                                         </w:t>
      </w:r>
      <w:r w:rsidRPr="00765A4D">
        <w:rPr>
          <w:rFonts w:ascii="宋体" w:eastAsia="宋体" w:hAnsi="宋体" w:cs="Arial" w:hint="eastAsia"/>
          <w:kern w:val="0"/>
          <w:sz w:val="24"/>
          <w:szCs w:val="24"/>
        </w:rPr>
        <w:t>2024年5月13日</w:t>
      </w:r>
    </w:p>
    <w:p w:rsidR="00765A4D" w:rsidRPr="00765A4D" w:rsidRDefault="00765A4D">
      <w:pPr>
        <w:spacing w:line="500" w:lineRule="exact"/>
      </w:pPr>
    </w:p>
    <w:sectPr w:rsidR="00765A4D" w:rsidRPr="00765A4D" w:rsidSect="00765A4D">
      <w:pgSz w:w="11906" w:h="16838"/>
      <w:pgMar w:top="1247" w:right="1089" w:bottom="924" w:left="1259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A4D"/>
    <w:rsid w:val="00056BAB"/>
    <w:rsid w:val="00765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65A4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65A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1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578</Words>
  <Characters>3299</Characters>
  <Application>Microsoft Office Word</Application>
  <DocSecurity>0</DocSecurity>
  <Lines>27</Lines>
  <Paragraphs>7</Paragraphs>
  <ScaleCrop>false</ScaleCrop>
  <Company>mycomputer</Company>
  <LinksUpToDate>false</LinksUpToDate>
  <CharactersWithSpaces>3870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mycomputer</dc:creator>
  <cp:lastModifiedBy>mycomputer</cp:lastModifiedBy>
  <cp:revision>1</cp:revision>
  <dcterms:created xsi:type="dcterms:W3CDTF">2024-12-31T08:57:00Z</dcterms:created>
  <dcterms:modified xsi:type="dcterms:W3CDTF">2024-12-31T08:59:00Z</dcterms:modified>
</cp:coreProperties>
</file>