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1AB" w:rsidRPr="000361AB" w:rsidRDefault="000361AB" w:rsidP="000361AB">
      <w:pPr>
        <w:widowControl/>
        <w:shd w:val="clear" w:color="auto" w:fill="FFFFFF"/>
        <w:jc w:val="center"/>
        <w:outlineLvl w:val="0"/>
        <w:rPr>
          <w:rFonts w:ascii="title" w:eastAsia="宋体" w:hAnsi="title" w:cs="宋体" w:hint="eastAsia"/>
          <w:b/>
          <w:kern w:val="36"/>
          <w:sz w:val="40"/>
          <w:szCs w:val="44"/>
        </w:rPr>
      </w:pPr>
      <w:r w:rsidRPr="000361AB">
        <w:rPr>
          <w:rFonts w:ascii="title" w:eastAsia="宋体" w:hAnsi="title" w:cs="宋体"/>
          <w:b/>
          <w:kern w:val="36"/>
          <w:sz w:val="40"/>
          <w:szCs w:val="44"/>
        </w:rPr>
        <w:t>招标投标领域公平竞争审查规则</w:t>
      </w:r>
    </w:p>
    <w:p w:rsidR="000361AB" w:rsidRPr="000361AB" w:rsidRDefault="000361AB" w:rsidP="000361AB">
      <w:pPr>
        <w:widowControl/>
        <w:shd w:val="clear" w:color="auto" w:fill="FFFFFF"/>
        <w:spacing w:line="500" w:lineRule="exact"/>
        <w:jc w:val="left"/>
        <w:outlineLvl w:val="0"/>
        <w:rPr>
          <w:rFonts w:ascii="title" w:eastAsia="宋体" w:hAnsi="title" w:cs="宋体"/>
          <w:kern w:val="36"/>
          <w:sz w:val="42"/>
          <w:szCs w:val="42"/>
        </w:rPr>
      </w:pPr>
      <w:r w:rsidRPr="000361AB">
        <w:rPr>
          <w:rFonts w:ascii="仿宋" w:eastAsia="仿宋" w:hAnsi="仿宋" w:cs="宋体" w:hint="eastAsia"/>
          <w:kern w:val="36"/>
          <w:sz w:val="24"/>
          <w:szCs w:val="27"/>
        </w:rPr>
        <w:t>(2024年1月31日经国家发展改革委第8次委</w:t>
      </w:r>
      <w:proofErr w:type="gramStart"/>
      <w:r w:rsidRPr="000361AB">
        <w:rPr>
          <w:rFonts w:ascii="仿宋" w:eastAsia="仿宋" w:hAnsi="仿宋" w:cs="宋体" w:hint="eastAsia"/>
          <w:kern w:val="36"/>
          <w:sz w:val="24"/>
          <w:szCs w:val="27"/>
        </w:rPr>
        <w:t>务</w:t>
      </w:r>
      <w:proofErr w:type="gramEnd"/>
      <w:r w:rsidRPr="000361AB">
        <w:rPr>
          <w:rFonts w:ascii="仿宋" w:eastAsia="仿宋" w:hAnsi="仿宋" w:cs="宋体" w:hint="eastAsia"/>
          <w:kern w:val="36"/>
          <w:sz w:val="24"/>
          <w:szCs w:val="27"/>
        </w:rPr>
        <w:t>会通过2024年3月25日国家发展改革委、工业和信息化部、住房城乡建设部、交通运输部、水利部、农业农村部、商务部、市场监管总局令第16号公布 自2024年5月1日起施行)</w:t>
      </w:r>
    </w:p>
    <w:p w:rsidR="000361AB" w:rsidRPr="000361AB" w:rsidRDefault="000361AB" w:rsidP="000361AB">
      <w:pPr>
        <w:widowControl/>
        <w:shd w:val="clear" w:color="auto" w:fill="FFFFFF"/>
        <w:spacing w:line="500" w:lineRule="exact"/>
        <w:ind w:firstLine="482"/>
        <w:rPr>
          <w:rFonts w:ascii="Arial" w:eastAsia="宋体" w:hAnsi="Arial" w:cs="Arial"/>
          <w:kern w:val="0"/>
          <w:sz w:val="24"/>
          <w:szCs w:val="24"/>
        </w:rPr>
      </w:pPr>
      <w:r w:rsidRPr="000361AB">
        <w:rPr>
          <w:rFonts w:ascii="Arial" w:eastAsia="宋体" w:hAnsi="Arial" w:cs="Arial"/>
          <w:kern w:val="0"/>
          <w:sz w:val="24"/>
          <w:szCs w:val="24"/>
        </w:rPr>
        <w:t>《招标投标领域公平竞争审查规则》已经</w:t>
      </w:r>
      <w:r w:rsidRPr="000361AB">
        <w:rPr>
          <w:rFonts w:ascii="Arial" w:eastAsia="宋体" w:hAnsi="Arial" w:cs="Arial"/>
          <w:kern w:val="0"/>
          <w:sz w:val="24"/>
          <w:szCs w:val="24"/>
        </w:rPr>
        <w:t>2024</w:t>
      </w:r>
      <w:r w:rsidRPr="000361AB">
        <w:rPr>
          <w:rFonts w:ascii="Arial" w:eastAsia="宋体" w:hAnsi="Arial" w:cs="Arial"/>
          <w:kern w:val="0"/>
          <w:sz w:val="24"/>
          <w:szCs w:val="24"/>
        </w:rPr>
        <w:t>年</w:t>
      </w:r>
      <w:r w:rsidRPr="000361AB">
        <w:rPr>
          <w:rFonts w:ascii="Arial" w:eastAsia="宋体" w:hAnsi="Arial" w:cs="Arial"/>
          <w:kern w:val="0"/>
          <w:sz w:val="24"/>
          <w:szCs w:val="24"/>
        </w:rPr>
        <w:t>1</w:t>
      </w:r>
      <w:r w:rsidRPr="000361AB">
        <w:rPr>
          <w:rFonts w:ascii="Arial" w:eastAsia="宋体" w:hAnsi="Arial" w:cs="Arial"/>
          <w:kern w:val="0"/>
          <w:sz w:val="24"/>
          <w:szCs w:val="24"/>
        </w:rPr>
        <w:t>月</w:t>
      </w:r>
      <w:r w:rsidRPr="000361AB">
        <w:rPr>
          <w:rFonts w:ascii="Arial" w:eastAsia="宋体" w:hAnsi="Arial" w:cs="Arial"/>
          <w:kern w:val="0"/>
          <w:sz w:val="24"/>
          <w:szCs w:val="24"/>
        </w:rPr>
        <w:t>31</w:t>
      </w:r>
      <w:r w:rsidRPr="000361AB">
        <w:rPr>
          <w:rFonts w:ascii="Arial" w:eastAsia="宋体" w:hAnsi="Arial" w:cs="Arial"/>
          <w:kern w:val="0"/>
          <w:sz w:val="24"/>
          <w:szCs w:val="24"/>
        </w:rPr>
        <w:t>日第</w:t>
      </w:r>
      <w:r w:rsidRPr="000361AB">
        <w:rPr>
          <w:rFonts w:ascii="Arial" w:eastAsia="宋体" w:hAnsi="Arial" w:cs="Arial"/>
          <w:kern w:val="0"/>
          <w:sz w:val="24"/>
          <w:szCs w:val="24"/>
        </w:rPr>
        <w:t>8</w:t>
      </w:r>
      <w:r w:rsidRPr="000361AB">
        <w:rPr>
          <w:rFonts w:ascii="Arial" w:eastAsia="宋体" w:hAnsi="Arial" w:cs="Arial"/>
          <w:kern w:val="0"/>
          <w:sz w:val="24"/>
          <w:szCs w:val="24"/>
        </w:rPr>
        <w:t>次委</w:t>
      </w:r>
      <w:proofErr w:type="gramStart"/>
      <w:r w:rsidRPr="000361AB">
        <w:rPr>
          <w:rFonts w:ascii="Arial" w:eastAsia="宋体" w:hAnsi="Arial" w:cs="Arial"/>
          <w:kern w:val="0"/>
          <w:sz w:val="24"/>
          <w:szCs w:val="24"/>
        </w:rPr>
        <w:t>务</w:t>
      </w:r>
      <w:proofErr w:type="gramEnd"/>
      <w:r w:rsidRPr="000361AB">
        <w:rPr>
          <w:rFonts w:ascii="Arial" w:eastAsia="宋体" w:hAnsi="Arial" w:cs="Arial"/>
          <w:kern w:val="0"/>
          <w:sz w:val="24"/>
          <w:szCs w:val="24"/>
        </w:rPr>
        <w:t>会议审议通过，现予公布，自</w:t>
      </w:r>
      <w:r w:rsidRPr="000361AB">
        <w:rPr>
          <w:rFonts w:ascii="Arial" w:eastAsia="宋体" w:hAnsi="Arial" w:cs="Arial"/>
          <w:kern w:val="0"/>
          <w:sz w:val="24"/>
          <w:szCs w:val="24"/>
        </w:rPr>
        <w:t>2024</w:t>
      </w:r>
      <w:r w:rsidRPr="000361AB">
        <w:rPr>
          <w:rFonts w:ascii="Arial" w:eastAsia="宋体" w:hAnsi="Arial" w:cs="Arial"/>
          <w:kern w:val="0"/>
          <w:sz w:val="24"/>
          <w:szCs w:val="24"/>
        </w:rPr>
        <w:t>年</w:t>
      </w:r>
      <w:r w:rsidRPr="000361AB">
        <w:rPr>
          <w:rFonts w:ascii="Arial" w:eastAsia="宋体" w:hAnsi="Arial" w:cs="Arial"/>
          <w:kern w:val="0"/>
          <w:sz w:val="24"/>
          <w:szCs w:val="24"/>
        </w:rPr>
        <w:t>5</w:t>
      </w:r>
      <w:r w:rsidRPr="000361AB">
        <w:rPr>
          <w:rFonts w:ascii="Arial" w:eastAsia="宋体" w:hAnsi="Arial" w:cs="Arial"/>
          <w:kern w:val="0"/>
          <w:sz w:val="24"/>
          <w:szCs w:val="24"/>
        </w:rPr>
        <w:t>月</w:t>
      </w:r>
      <w:r w:rsidRPr="000361AB">
        <w:rPr>
          <w:rFonts w:ascii="Arial" w:eastAsia="宋体" w:hAnsi="Arial" w:cs="Arial"/>
          <w:kern w:val="0"/>
          <w:sz w:val="24"/>
          <w:szCs w:val="24"/>
        </w:rPr>
        <w:t>1</w:t>
      </w:r>
      <w:r w:rsidRPr="000361AB">
        <w:rPr>
          <w:rFonts w:ascii="Arial" w:eastAsia="宋体" w:hAnsi="Arial" w:cs="Arial"/>
          <w:kern w:val="0"/>
          <w:sz w:val="24"/>
          <w:szCs w:val="24"/>
        </w:rPr>
        <w:t>日起施行。</w:t>
      </w:r>
    </w:p>
    <w:p w:rsidR="000361AB" w:rsidRPr="000361AB" w:rsidRDefault="000361AB" w:rsidP="000361AB">
      <w:pPr>
        <w:widowControl/>
        <w:shd w:val="clear" w:color="auto" w:fill="FFFFFF"/>
        <w:spacing w:line="500" w:lineRule="exact"/>
        <w:ind w:firstLine="482"/>
        <w:rPr>
          <w:rFonts w:ascii="Arial" w:eastAsia="宋体" w:hAnsi="Arial" w:cs="Arial"/>
          <w:kern w:val="0"/>
          <w:sz w:val="24"/>
          <w:szCs w:val="24"/>
        </w:rPr>
      </w:pPr>
    </w:p>
    <w:p w:rsidR="000361AB" w:rsidRPr="000361AB" w:rsidRDefault="000361AB" w:rsidP="000361AB">
      <w:pPr>
        <w:widowControl/>
        <w:shd w:val="clear" w:color="auto" w:fill="FFFFFF"/>
        <w:spacing w:line="500" w:lineRule="exact"/>
        <w:ind w:firstLine="482"/>
        <w:jc w:val="right"/>
        <w:rPr>
          <w:rFonts w:ascii="Arial" w:eastAsia="宋体" w:hAnsi="Arial" w:cs="Arial"/>
          <w:kern w:val="0"/>
          <w:sz w:val="24"/>
          <w:szCs w:val="24"/>
        </w:rPr>
      </w:pPr>
      <w:r w:rsidRPr="000361AB">
        <w:rPr>
          <w:rFonts w:ascii="Arial" w:eastAsia="宋体" w:hAnsi="Arial" w:cs="Arial"/>
          <w:kern w:val="0"/>
          <w:sz w:val="24"/>
          <w:szCs w:val="24"/>
        </w:rPr>
        <w:t>2024</w:t>
      </w:r>
      <w:r w:rsidRPr="000361AB">
        <w:rPr>
          <w:rFonts w:ascii="Arial" w:eastAsia="宋体" w:hAnsi="Arial" w:cs="Arial"/>
          <w:kern w:val="0"/>
          <w:sz w:val="24"/>
          <w:szCs w:val="24"/>
        </w:rPr>
        <w:t>年</w:t>
      </w:r>
      <w:r w:rsidRPr="000361AB">
        <w:rPr>
          <w:rFonts w:ascii="Arial" w:eastAsia="宋体" w:hAnsi="Arial" w:cs="Arial"/>
          <w:kern w:val="0"/>
          <w:sz w:val="24"/>
          <w:szCs w:val="24"/>
        </w:rPr>
        <w:t>3</w:t>
      </w:r>
      <w:r w:rsidRPr="000361AB">
        <w:rPr>
          <w:rFonts w:ascii="Arial" w:eastAsia="宋体" w:hAnsi="Arial" w:cs="Arial"/>
          <w:kern w:val="0"/>
          <w:sz w:val="24"/>
          <w:szCs w:val="24"/>
        </w:rPr>
        <w:t>月</w:t>
      </w:r>
      <w:r w:rsidRPr="000361AB">
        <w:rPr>
          <w:rFonts w:ascii="Arial" w:eastAsia="宋体" w:hAnsi="Arial" w:cs="Arial"/>
          <w:kern w:val="0"/>
          <w:sz w:val="24"/>
          <w:szCs w:val="24"/>
        </w:rPr>
        <w:t>25</w:t>
      </w:r>
      <w:r w:rsidRPr="000361AB">
        <w:rPr>
          <w:rFonts w:ascii="Arial" w:eastAsia="宋体" w:hAnsi="Arial" w:cs="Arial"/>
          <w:kern w:val="0"/>
          <w:sz w:val="24"/>
          <w:szCs w:val="24"/>
        </w:rPr>
        <w:t>日</w:t>
      </w:r>
    </w:p>
    <w:p w:rsidR="000361AB" w:rsidRPr="000361AB" w:rsidRDefault="000361AB" w:rsidP="000361AB">
      <w:pPr>
        <w:widowControl/>
        <w:shd w:val="clear" w:color="auto" w:fill="FFFFFF"/>
        <w:spacing w:line="500" w:lineRule="exact"/>
        <w:ind w:firstLine="482"/>
        <w:rPr>
          <w:rFonts w:ascii="Arial" w:eastAsia="宋体" w:hAnsi="Arial" w:cs="Arial"/>
          <w:kern w:val="0"/>
          <w:sz w:val="24"/>
          <w:szCs w:val="24"/>
        </w:rPr>
      </w:pPr>
    </w:p>
    <w:p w:rsidR="000361AB" w:rsidRPr="000361AB" w:rsidRDefault="000361AB" w:rsidP="000361AB">
      <w:pPr>
        <w:widowControl/>
        <w:shd w:val="clear" w:color="auto" w:fill="FFFFFF"/>
        <w:jc w:val="center"/>
        <w:rPr>
          <w:rFonts w:ascii="Arial" w:eastAsia="宋体" w:hAnsi="Arial" w:cs="Arial"/>
          <w:kern w:val="0"/>
          <w:sz w:val="24"/>
          <w:szCs w:val="24"/>
        </w:rPr>
      </w:pPr>
      <w:r w:rsidRPr="000361AB">
        <w:rPr>
          <w:rFonts w:ascii="黑体" w:eastAsia="黑体" w:hAnsi="黑体" w:cs="Arial" w:hint="eastAsia"/>
          <w:kern w:val="0"/>
          <w:sz w:val="32"/>
          <w:szCs w:val="36"/>
        </w:rPr>
        <w:t>招标投标领域公平竞争审查规则</w:t>
      </w:r>
    </w:p>
    <w:p w:rsidR="000361AB" w:rsidRPr="000361AB" w:rsidRDefault="000361AB" w:rsidP="000361AB">
      <w:pPr>
        <w:widowControl/>
        <w:shd w:val="clear" w:color="auto" w:fill="FFFFFF"/>
        <w:ind w:firstLine="480"/>
        <w:rPr>
          <w:rFonts w:ascii="Arial" w:eastAsia="宋体" w:hAnsi="Arial" w:cs="Arial"/>
          <w:kern w:val="0"/>
          <w:sz w:val="24"/>
          <w:szCs w:val="24"/>
        </w:rPr>
      </w:pPr>
    </w:p>
    <w:p w:rsidR="000361AB" w:rsidRPr="000361AB" w:rsidRDefault="000361AB" w:rsidP="000361AB">
      <w:pPr>
        <w:widowControl/>
        <w:shd w:val="clear" w:color="auto" w:fill="FFFFFF"/>
        <w:jc w:val="center"/>
        <w:rPr>
          <w:rFonts w:ascii="Arial" w:eastAsia="宋体" w:hAnsi="Arial" w:cs="Arial"/>
          <w:kern w:val="0"/>
          <w:sz w:val="24"/>
          <w:szCs w:val="24"/>
        </w:rPr>
      </w:pPr>
      <w:r w:rsidRPr="000361AB">
        <w:rPr>
          <w:rFonts w:ascii="黑体" w:eastAsia="黑体" w:hAnsi="黑体" w:cs="Arial" w:hint="eastAsia"/>
          <w:kern w:val="0"/>
          <w:sz w:val="24"/>
          <w:szCs w:val="24"/>
        </w:rPr>
        <w:t>第一章</w:t>
      </w:r>
      <w:r>
        <w:rPr>
          <w:rFonts w:ascii="黑体" w:eastAsia="黑体" w:hAnsi="黑体" w:cs="Arial" w:hint="eastAsia"/>
          <w:kern w:val="0"/>
          <w:sz w:val="24"/>
          <w:szCs w:val="24"/>
        </w:rPr>
        <w:t xml:space="preserve">  </w:t>
      </w:r>
      <w:r w:rsidRPr="000361AB">
        <w:rPr>
          <w:rFonts w:ascii="黑体" w:eastAsia="黑体" w:hAnsi="黑体" w:cs="Arial" w:hint="eastAsia"/>
          <w:kern w:val="0"/>
          <w:sz w:val="24"/>
          <w:szCs w:val="24"/>
        </w:rPr>
        <w:t>总</w:t>
      </w:r>
      <w:r>
        <w:rPr>
          <w:rFonts w:ascii="黑体" w:eastAsia="黑体" w:hAnsi="黑体" w:cs="Arial" w:hint="eastAsia"/>
          <w:kern w:val="0"/>
          <w:sz w:val="24"/>
          <w:szCs w:val="24"/>
        </w:rPr>
        <w:t xml:space="preserve">  </w:t>
      </w:r>
      <w:r w:rsidRPr="000361AB">
        <w:rPr>
          <w:rFonts w:ascii="黑体" w:eastAsia="黑体" w:hAnsi="黑体" w:cs="Arial" w:hint="eastAsia"/>
          <w:kern w:val="0"/>
          <w:sz w:val="24"/>
          <w:szCs w:val="24"/>
        </w:rPr>
        <w:t>则</w:t>
      </w:r>
    </w:p>
    <w:p w:rsidR="000361AB" w:rsidRPr="000361AB" w:rsidRDefault="000361AB" w:rsidP="000361AB">
      <w:pPr>
        <w:widowControl/>
        <w:shd w:val="clear" w:color="auto" w:fill="FFFFFF"/>
        <w:ind w:firstLine="480"/>
        <w:rPr>
          <w:rFonts w:ascii="Arial" w:eastAsia="宋体" w:hAnsi="Arial" w:cs="Arial"/>
          <w:kern w:val="0"/>
          <w:sz w:val="24"/>
          <w:szCs w:val="24"/>
        </w:rPr>
      </w:pP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第一条</w:t>
      </w:r>
      <w:r>
        <w:rPr>
          <w:rFonts w:ascii="黑体" w:eastAsia="黑体" w:hAnsi="黑体" w:cs="Arial" w:hint="eastAsia"/>
          <w:kern w:val="0"/>
          <w:sz w:val="24"/>
          <w:szCs w:val="24"/>
        </w:rPr>
        <w:t xml:space="preserve">  </w:t>
      </w:r>
      <w:r w:rsidRPr="000361AB">
        <w:rPr>
          <w:rFonts w:ascii="Arial" w:eastAsia="宋体" w:hAnsi="Arial" w:cs="Arial"/>
          <w:kern w:val="0"/>
          <w:sz w:val="24"/>
          <w:szCs w:val="24"/>
        </w:rPr>
        <w:t>为加强和规范招标投标领域公平竞争审查，维护公平竞争市场秩序，根据《中华人民共和国招标投标法》《中华人民共和国招标投标法实施条例》等有关规定，制定本规则。</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第二条</w:t>
      </w:r>
      <w:r>
        <w:rPr>
          <w:rFonts w:ascii="黑体" w:eastAsia="黑体" w:hAnsi="黑体" w:cs="Arial" w:hint="eastAsia"/>
          <w:kern w:val="0"/>
          <w:sz w:val="24"/>
          <w:szCs w:val="24"/>
        </w:rPr>
        <w:t xml:space="preserve">  </w:t>
      </w:r>
      <w:r w:rsidRPr="000361AB">
        <w:rPr>
          <w:rFonts w:ascii="Arial" w:eastAsia="宋体" w:hAnsi="Arial" w:cs="Arial"/>
          <w:kern w:val="0"/>
          <w:sz w:val="24"/>
          <w:szCs w:val="24"/>
        </w:rPr>
        <w:t>招标投标领域公平竞争审查工作，适用本规则。</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第三条</w:t>
      </w:r>
      <w:r>
        <w:rPr>
          <w:rFonts w:ascii="Arial" w:eastAsia="宋体" w:hAnsi="Arial" w:cs="Arial"/>
          <w:kern w:val="0"/>
          <w:sz w:val="24"/>
          <w:szCs w:val="24"/>
        </w:rPr>
        <w:t xml:space="preserve">  </w:t>
      </w:r>
      <w:r w:rsidRPr="000361AB">
        <w:rPr>
          <w:rFonts w:ascii="Arial" w:eastAsia="宋体" w:hAnsi="Arial" w:cs="Arial"/>
          <w:kern w:val="0"/>
          <w:sz w:val="24"/>
          <w:szCs w:val="24"/>
        </w:rPr>
        <w:t>本规则所称公平竞争审查，是指行政机关和法律、法规授权的具有管理公共事务职能的组织（以下统称政策制定机关）对拟制定的招标投标领域涉及经营主体经济活动的规章、行政规范性文件、其他政策性文件以及具体政策措施（以下统称政策措施）是否存在排除、限制竞争情形进行审查评估的活动。</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除法律、行政法规或者国务院规定的公平竞争审查例外情形，未经公平竞争审查或者经审查存在排除、限制竞争情形的，不得出台有关政策措施。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第四条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政策制定机关履行公平竞争审查职责。政策制定机关应当确定专门机构具体负责政策措施的公平竞争审查工作。</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多个部门联合制定政策措施的，由牵头部门组织开展公平竞争审查，各参与部门对职责范围内的政策措施负责。</w:t>
      </w:r>
    </w:p>
    <w:p w:rsidR="000361AB" w:rsidRPr="000361AB" w:rsidRDefault="000361AB" w:rsidP="000361AB">
      <w:pPr>
        <w:widowControl/>
        <w:shd w:val="clear" w:color="auto" w:fill="FFFFFF"/>
        <w:spacing w:line="500" w:lineRule="exact"/>
        <w:jc w:val="center"/>
        <w:rPr>
          <w:rFonts w:ascii="Arial" w:eastAsia="宋体" w:hAnsi="Arial" w:cs="Arial"/>
          <w:kern w:val="0"/>
          <w:sz w:val="24"/>
          <w:szCs w:val="24"/>
        </w:rPr>
      </w:pPr>
      <w:r w:rsidRPr="000361AB">
        <w:rPr>
          <w:rFonts w:ascii="黑体" w:eastAsia="黑体" w:hAnsi="黑体" w:cs="Arial" w:hint="eastAsia"/>
          <w:kern w:val="0"/>
          <w:sz w:val="24"/>
          <w:szCs w:val="24"/>
        </w:rPr>
        <w:t>第二章</w:t>
      </w:r>
      <w:r>
        <w:rPr>
          <w:rFonts w:ascii="黑体" w:eastAsia="黑体" w:hAnsi="黑体" w:cs="Arial" w:hint="eastAsia"/>
          <w:kern w:val="0"/>
          <w:sz w:val="24"/>
          <w:szCs w:val="24"/>
        </w:rPr>
        <w:t xml:space="preserve">  </w:t>
      </w:r>
      <w:r w:rsidRPr="000361AB">
        <w:rPr>
          <w:rFonts w:ascii="黑体" w:eastAsia="黑体" w:hAnsi="黑体" w:cs="Arial" w:hint="eastAsia"/>
          <w:kern w:val="0"/>
          <w:sz w:val="24"/>
          <w:szCs w:val="24"/>
        </w:rPr>
        <w:t>审查标准</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lastRenderedPageBreak/>
        <w:t>第五条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政策制定机关应当尊重和保障招标人组织招标、选择招标代理机构、编制资格预审文件和招标文件的自主权，不得制定以下政策措施：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（一）为招标人指定招标代理机构或者违法限定招标人选择招标代理机构的方式；</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（二）为招标人指定投标资格、技术、商务条件；</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（三）为招标人指定特定类型的资格审查方法或者评标方法；</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（四）为招标人指定具体的资格审查标准或者评标标准；</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（五）为招标人指定评标委员会成员；</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（六）对于已经纳入统一的公共资源交易平台体系的电子交易系统，限制招标人自主选择；</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（七）强制招标人或者招标代理机构选择电子认证服务；</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（八）为招标人或者招标代理机构指定特定交易工具；</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（九）为招标人指定承包商（供应商）预选库、资格</w:t>
      </w:r>
      <w:proofErr w:type="gramStart"/>
      <w:r w:rsidRPr="000361AB">
        <w:rPr>
          <w:rFonts w:ascii="Arial" w:eastAsia="宋体" w:hAnsi="Arial" w:cs="Arial"/>
          <w:kern w:val="0"/>
          <w:sz w:val="24"/>
          <w:szCs w:val="24"/>
        </w:rPr>
        <w:t>库或者</w:t>
      </w:r>
      <w:proofErr w:type="gramEnd"/>
      <w:r w:rsidRPr="000361AB">
        <w:rPr>
          <w:rFonts w:ascii="Arial" w:eastAsia="宋体" w:hAnsi="Arial" w:cs="Arial"/>
          <w:kern w:val="0"/>
          <w:sz w:val="24"/>
          <w:szCs w:val="24"/>
        </w:rPr>
        <w:t>备选名录等；</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（十）要求招标人依照本地区创新产品名单、优先采购产品名单等地方性扶持政策开展招标投标活动；</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（十一）以其他不合理条件限制招标人自主权的政策措施。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第六条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政策制定机关应当落实全国统一的市场准入条件，对经营主体参与投标活动，不得制定以下政策措施：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（一）对市场准入负面清单以外的行业、领域、业务，要求经营主体在参与投标活动前取得行政许可；</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（二）要求经营主体在本地区设立分支机构、缴纳税收社保或者与本地区经营主体组成联合体；</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（三）要求经营主体取得本地区业绩或者奖项；</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（四）要求经营主体取得培训合格证、上岗证等特定地区或者特定行业组织颁发的相关证书；</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（五）要求经营主体取得特定行业组织成员身份；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（六）以其他不合理条件限制经营主体参与投标的政策措施。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第七条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制定标准招标文件（示范文本）和标准资格预审文件（示范文本），应当平等对待不同地区、所有制形式的经营主体，不得在标准招标文件（示范文本）和标准资格预审文件（示范文本）中设置以下内容：</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lastRenderedPageBreak/>
        <w:t>（一）根据经营主体取得业绩的区域设置差异性得分；</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（二）根据经营主体的所有制形式设置差异性得分；</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（三）根据经营主体投标产品的产地设置差异性得分；</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（四）根据经营主体的规模、注册地址、注册资金、市场占有率、负债率、净资产规模等设置差异性得分；</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（五）根据联合体成员单位的注册地址、所有制形式等设置差异性得分；</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（六）其他排除或者限制竞争的内容。</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第八条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政策制定机关制定定标相关政策措施，应当尊重和保障招标人定标权，落实招标人定标主体责任，不得制定以下政策措施：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（一）为招标人指定定标方法；</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（二）为招标人指定定标单位或者定标人员；</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（三）将定标权交由招标人或者其授权的评标委员会以外的其他单位或者人员行使；</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（四）规定直接以抽签、摇号、抓阄等方式确定合格投标人、中标候选人或者中标人；</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（五）以其他不合理条件限制招标人定标权的政策措施。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第九条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可以通过组织开展信用评价引导经营主体诚信守法参与招标投标活动，并可以通过制定实施相应政策措施鼓励经营主体应用信用评价结果，但应当平等对待不同地区、所有制形式的经营主体，依法保障经营主体自主权，不得制定以下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（一）在信用信息记录、归集、共享等方面对不同地区或者所有制形式的经营主体</w:t>
      </w:r>
      <w:proofErr w:type="gramStart"/>
      <w:r w:rsidRPr="000361AB">
        <w:rPr>
          <w:rFonts w:ascii="Arial" w:eastAsia="宋体" w:hAnsi="Arial" w:cs="Arial"/>
          <w:kern w:val="0"/>
          <w:sz w:val="24"/>
          <w:szCs w:val="24"/>
        </w:rPr>
        <w:t>作出</w:t>
      </w:r>
      <w:proofErr w:type="gramEnd"/>
      <w:r w:rsidRPr="000361AB">
        <w:rPr>
          <w:rFonts w:ascii="Arial" w:eastAsia="宋体" w:hAnsi="Arial" w:cs="Arial"/>
          <w:kern w:val="0"/>
          <w:sz w:val="24"/>
          <w:szCs w:val="24"/>
        </w:rPr>
        <w:t>区别规定；</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（二）对不同地区或者所有制形式经营主体的资质、资格、业绩等采用不同信用评价标准；</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（三）根据经营主体的所在地区或者所有制形式采取差异化的信用监管措施；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（四）没有法定依据，限制经营主体参考使用信用评价结果的自主权；</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（五）其他排除限制竞争或者损害经营主体合法权益的政策措施。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第十条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政策制定机关制定涉及招标投标交易监管和服务的政策措施，应当平等保障各类经营主体参与，不得在交易流程上制定以下政策措施：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（一）规定招标投标交易服务机构行使审批、备案、监管、处罚等具有行政管理性质的职能；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（二）强制非公共资源交易项目进入公共资源交易平台交易；</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lastRenderedPageBreak/>
        <w:t>（三）对能够通过告知承诺和</w:t>
      </w:r>
      <w:proofErr w:type="gramStart"/>
      <w:r w:rsidRPr="000361AB">
        <w:rPr>
          <w:rFonts w:ascii="Arial" w:eastAsia="宋体" w:hAnsi="Arial" w:cs="Arial"/>
          <w:kern w:val="0"/>
          <w:sz w:val="24"/>
          <w:szCs w:val="24"/>
        </w:rPr>
        <w:t>事后核</w:t>
      </w:r>
      <w:proofErr w:type="gramEnd"/>
      <w:r w:rsidRPr="000361AB">
        <w:rPr>
          <w:rFonts w:ascii="Arial" w:eastAsia="宋体" w:hAnsi="Arial" w:cs="Arial"/>
          <w:kern w:val="0"/>
          <w:sz w:val="24"/>
          <w:szCs w:val="24"/>
        </w:rPr>
        <w:t>验核实真伪的事项，强制投标人在投标环节提供原件；</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（四）在获取招标文件、开标环节违法要求投标人的法定代表人、技术负责人、项目负责人或者其他特定人员到场；</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（五）其他不当限制经营主体参与招标投标的政策措施。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第十一条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政策制定机关制定涉及保证金的政策措施，不得设置以下不合理限制：</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（一）限制招标人依法收取保证金；</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（二）要求经营主体缴纳除投标保证金、履约保证金、工程质量保证金、农民工工资保证金以外的其他保证金；</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（三）限定经营主体缴纳保证金的形式；</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（四）要求经营主体从特定机构开具保函（保险）；</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（五）在招标文件之外设定保证金退还的前置条件；</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（六）其他涉及保证金的不合理限制措施。</w:t>
      </w:r>
    </w:p>
    <w:p w:rsidR="000361AB" w:rsidRPr="000361AB" w:rsidRDefault="000361AB" w:rsidP="000361AB">
      <w:pPr>
        <w:widowControl/>
        <w:shd w:val="clear" w:color="auto" w:fill="FFFFFF"/>
        <w:spacing w:line="500" w:lineRule="exact"/>
        <w:jc w:val="center"/>
        <w:rPr>
          <w:rFonts w:ascii="Arial" w:eastAsia="宋体" w:hAnsi="Arial" w:cs="Arial"/>
          <w:kern w:val="0"/>
          <w:sz w:val="24"/>
          <w:szCs w:val="24"/>
        </w:rPr>
      </w:pPr>
      <w:r w:rsidRPr="000361AB">
        <w:rPr>
          <w:rFonts w:ascii="黑体" w:eastAsia="黑体" w:hAnsi="黑体" w:cs="Arial" w:hint="eastAsia"/>
          <w:kern w:val="0"/>
          <w:sz w:val="24"/>
          <w:szCs w:val="24"/>
        </w:rPr>
        <w:t>第三章</w:t>
      </w:r>
      <w:r>
        <w:rPr>
          <w:rFonts w:ascii="黑体" w:eastAsia="黑体" w:hAnsi="黑体" w:cs="Arial" w:hint="eastAsia"/>
          <w:kern w:val="0"/>
          <w:sz w:val="24"/>
          <w:szCs w:val="24"/>
        </w:rPr>
        <w:t xml:space="preserve">  </w:t>
      </w:r>
      <w:r w:rsidRPr="000361AB">
        <w:rPr>
          <w:rFonts w:ascii="黑体" w:eastAsia="黑体" w:hAnsi="黑体" w:cs="Arial" w:hint="eastAsia"/>
          <w:kern w:val="0"/>
          <w:sz w:val="24"/>
          <w:szCs w:val="24"/>
        </w:rPr>
        <w:t>审查机制</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第十二条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政策制定机关应当建立本机关公平竞争审查工作机制，明确公平竞争审查负责机构、审查标准和审查流程，规范公平竞争审查行为。</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第十三条</w:t>
      </w:r>
      <w:r>
        <w:rPr>
          <w:rFonts w:ascii="Arial" w:eastAsia="宋体" w:hAnsi="Arial" w:cs="Arial"/>
          <w:kern w:val="0"/>
          <w:sz w:val="24"/>
          <w:szCs w:val="24"/>
        </w:rPr>
        <w:t xml:space="preserve">  </w:t>
      </w:r>
      <w:r w:rsidRPr="000361AB">
        <w:rPr>
          <w:rFonts w:ascii="Arial" w:eastAsia="宋体" w:hAnsi="Arial" w:cs="Arial"/>
          <w:kern w:val="0"/>
          <w:sz w:val="24"/>
          <w:szCs w:val="24"/>
        </w:rPr>
        <w:t>政策措施应当在提请审议或者报批前完成公平竞争审查。</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政策制定机关应当</w:t>
      </w:r>
      <w:proofErr w:type="gramStart"/>
      <w:r w:rsidRPr="000361AB">
        <w:rPr>
          <w:rFonts w:ascii="Arial" w:eastAsia="宋体" w:hAnsi="Arial" w:cs="Arial"/>
          <w:kern w:val="0"/>
          <w:sz w:val="24"/>
          <w:szCs w:val="24"/>
        </w:rPr>
        <w:t>作出</w:t>
      </w:r>
      <w:proofErr w:type="gramEnd"/>
      <w:r w:rsidRPr="000361AB">
        <w:rPr>
          <w:rFonts w:ascii="Arial" w:eastAsia="宋体" w:hAnsi="Arial" w:cs="Arial"/>
          <w:kern w:val="0"/>
          <w:sz w:val="24"/>
          <w:szCs w:val="24"/>
        </w:rPr>
        <w:t>符合或者不符合审查标准的书面审查结论。适用有关法律、行政法规或者国务院规定的公平竞争审查例外情形的，应当在审查结论中说明理由。</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第十四条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政策制定机关在对政策措施开展公平竞争审查过程中，应当以适当方式听取有关经营主体、行业协会商会等意见；除依法保密外，应当向社会公开征求意见。</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在起草政策措施的其他环节已经向社会公开征求意见或者征求过有关方面意见的，可以不再专门就公平竞争审查征求意见。</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第十五条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政策制定机关可以委托第三方机构对拟出台政策措施的公平竞争影响、已出台政策措施的竞争效果和本地区招标投标公平竞争审查制度总体实施情况、市场竞争状况等开展评估。</w:t>
      </w:r>
    </w:p>
    <w:p w:rsidR="000361AB" w:rsidRPr="000361AB" w:rsidRDefault="000361AB" w:rsidP="000361AB">
      <w:pPr>
        <w:widowControl/>
        <w:shd w:val="clear" w:color="auto" w:fill="FFFFFF"/>
        <w:spacing w:line="500" w:lineRule="exact"/>
        <w:jc w:val="center"/>
        <w:rPr>
          <w:rFonts w:ascii="Arial" w:eastAsia="宋体" w:hAnsi="Arial" w:cs="Arial"/>
          <w:kern w:val="0"/>
          <w:sz w:val="24"/>
          <w:szCs w:val="24"/>
        </w:rPr>
      </w:pPr>
      <w:r w:rsidRPr="000361AB">
        <w:rPr>
          <w:rFonts w:ascii="黑体" w:eastAsia="黑体" w:hAnsi="黑体" w:cs="Arial" w:hint="eastAsia"/>
          <w:kern w:val="0"/>
          <w:sz w:val="24"/>
          <w:szCs w:val="24"/>
        </w:rPr>
        <w:t>第四章</w:t>
      </w:r>
      <w:r>
        <w:rPr>
          <w:rFonts w:ascii="黑体" w:eastAsia="黑体" w:hAnsi="黑体" w:cs="Arial" w:hint="eastAsia"/>
          <w:kern w:val="0"/>
          <w:sz w:val="24"/>
          <w:szCs w:val="24"/>
        </w:rPr>
        <w:t xml:space="preserve">  </w:t>
      </w:r>
      <w:r w:rsidRPr="000361AB">
        <w:rPr>
          <w:rFonts w:ascii="黑体" w:eastAsia="黑体" w:hAnsi="黑体" w:cs="Arial" w:hint="eastAsia"/>
          <w:kern w:val="0"/>
          <w:sz w:val="24"/>
          <w:szCs w:val="24"/>
        </w:rPr>
        <w:t>监督管理</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第十六条</w:t>
      </w:r>
      <w:r>
        <w:rPr>
          <w:rFonts w:ascii="Arial" w:eastAsia="宋体" w:hAnsi="Arial" w:cs="Arial"/>
          <w:kern w:val="0"/>
          <w:sz w:val="24"/>
          <w:szCs w:val="24"/>
        </w:rPr>
        <w:t xml:space="preserve">  </w:t>
      </w:r>
      <w:r w:rsidRPr="000361AB">
        <w:rPr>
          <w:rFonts w:ascii="Arial" w:eastAsia="宋体" w:hAnsi="Arial" w:cs="Arial"/>
          <w:kern w:val="0"/>
          <w:sz w:val="24"/>
          <w:szCs w:val="24"/>
        </w:rPr>
        <w:t>地方各级招标投标指导协调部门会同招标投标行政监督部门，应当定期组织开展政策措施评估，发现违反公平竞争审查有关规定的，应当及时纠正。</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lastRenderedPageBreak/>
        <w:t>第十七条</w:t>
      </w:r>
      <w:r>
        <w:rPr>
          <w:rFonts w:ascii="Arial" w:eastAsia="宋体" w:hAnsi="Arial" w:cs="Arial"/>
          <w:kern w:val="0"/>
          <w:sz w:val="24"/>
          <w:szCs w:val="24"/>
        </w:rPr>
        <w:t xml:space="preserve">  </w:t>
      </w:r>
      <w:r w:rsidRPr="000361AB">
        <w:rPr>
          <w:rFonts w:ascii="Arial" w:eastAsia="宋体" w:hAnsi="Arial" w:cs="Arial"/>
          <w:kern w:val="0"/>
          <w:sz w:val="24"/>
          <w:szCs w:val="24"/>
        </w:rPr>
        <w:t>公民、法人或者其他组织认为政策措施妨碍公平竞争的，有权向政策制定机关及其上一级机关反映。</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Arial" w:eastAsia="宋体" w:hAnsi="Arial" w:cs="Arial"/>
          <w:kern w:val="0"/>
          <w:sz w:val="24"/>
          <w:szCs w:val="24"/>
        </w:rPr>
        <w:t>地方各级招标投标指导协调部门、招标投标行政监督部门应当建立招标投标市场壁垒线索征集机制，动态清理废止各类有违公平竞争的政策措施。</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第十八条</w:t>
      </w:r>
      <w:r>
        <w:rPr>
          <w:rFonts w:ascii="Arial" w:eastAsia="宋体" w:hAnsi="Arial" w:cs="Arial"/>
          <w:kern w:val="0"/>
          <w:sz w:val="24"/>
          <w:szCs w:val="24"/>
        </w:rPr>
        <w:t xml:space="preserve">  </w:t>
      </w:r>
      <w:r w:rsidRPr="000361AB">
        <w:rPr>
          <w:rFonts w:ascii="Arial" w:eastAsia="宋体" w:hAnsi="Arial" w:cs="Arial"/>
          <w:kern w:val="0"/>
          <w:sz w:val="24"/>
          <w:szCs w:val="24"/>
        </w:rPr>
        <w:t>公民、法人或者其他组织认为资格预审文件、招标文件存在排斥、限制潜在投标人不合理条件的，有权依照《招标投标法》及其实施条例相关规定提出异议和投诉。招标投标行政监督部门、招标人应当按照规定程序处理。</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第十九条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未进行公平竞争审查或者违反审查标准出台政策措施的，由上级机关责令改正；拒不改正或者不及时改正的，对直接负责的主管人员和其他相关责任人员依照《中华人民共和国公职人员政务处分法》第三十九条、《中华人民共和国公务员法》第六十一条等有关规定依法给予处分。</w:t>
      </w:r>
    </w:p>
    <w:p w:rsidR="000361AB" w:rsidRPr="000361AB" w:rsidRDefault="000361AB" w:rsidP="000361AB">
      <w:pPr>
        <w:widowControl/>
        <w:shd w:val="clear" w:color="auto" w:fill="FFFFFF"/>
        <w:spacing w:line="500" w:lineRule="exact"/>
        <w:jc w:val="center"/>
        <w:rPr>
          <w:rFonts w:ascii="Arial" w:eastAsia="宋体" w:hAnsi="Arial" w:cs="Arial"/>
          <w:kern w:val="0"/>
          <w:sz w:val="24"/>
          <w:szCs w:val="24"/>
        </w:rPr>
      </w:pPr>
      <w:r w:rsidRPr="000361AB">
        <w:rPr>
          <w:rFonts w:ascii="黑体" w:eastAsia="黑体" w:hAnsi="黑体" w:cs="Arial" w:hint="eastAsia"/>
          <w:kern w:val="0"/>
          <w:sz w:val="24"/>
          <w:szCs w:val="24"/>
        </w:rPr>
        <w:t>第五章</w:t>
      </w:r>
      <w:r>
        <w:rPr>
          <w:rFonts w:ascii="黑体" w:eastAsia="黑体" w:hAnsi="黑体" w:cs="Arial" w:hint="eastAsia"/>
          <w:kern w:val="0"/>
          <w:sz w:val="24"/>
          <w:szCs w:val="24"/>
        </w:rPr>
        <w:t xml:space="preserve">  </w:t>
      </w:r>
      <w:r w:rsidRPr="000361AB">
        <w:rPr>
          <w:rFonts w:ascii="黑体" w:eastAsia="黑体" w:hAnsi="黑体" w:cs="Arial" w:hint="eastAsia"/>
          <w:kern w:val="0"/>
          <w:sz w:val="24"/>
          <w:szCs w:val="24"/>
        </w:rPr>
        <w:t>附</w:t>
      </w:r>
      <w:r>
        <w:rPr>
          <w:rFonts w:ascii="宋体" w:eastAsia="宋体" w:hAnsi="宋体" w:cs="宋体" w:hint="eastAsia"/>
          <w:kern w:val="0"/>
          <w:sz w:val="24"/>
          <w:szCs w:val="24"/>
        </w:rPr>
        <w:t xml:space="preserve">  </w:t>
      </w:r>
      <w:r w:rsidRPr="000361AB">
        <w:rPr>
          <w:rFonts w:ascii="黑体" w:eastAsia="黑体" w:hAnsi="黑体" w:cs="Arial" w:hint="eastAsia"/>
          <w:kern w:val="0"/>
          <w:sz w:val="24"/>
          <w:szCs w:val="24"/>
        </w:rPr>
        <w:t>则</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第二十条</w:t>
      </w:r>
      <w:r>
        <w:rPr>
          <w:rFonts w:ascii="Arial" w:eastAsia="宋体" w:hAnsi="Arial" w:cs="Arial"/>
          <w:kern w:val="0"/>
          <w:sz w:val="24"/>
          <w:szCs w:val="24"/>
        </w:rPr>
        <w:t xml:space="preserve">  </w:t>
      </w:r>
      <w:r w:rsidRPr="000361AB">
        <w:rPr>
          <w:rFonts w:ascii="Arial" w:eastAsia="宋体" w:hAnsi="Arial" w:cs="Arial"/>
          <w:kern w:val="0"/>
          <w:sz w:val="24"/>
          <w:szCs w:val="24"/>
        </w:rPr>
        <w:t>政策制定机关作为招标人编制招标公告、资格预审文件和招标文件，以及公共资源交易平台运行服务机构制定招标投标交易服务文件，应当参照本规则开展公平竞争审查。</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第二十一条</w:t>
      </w:r>
      <w:r>
        <w:rPr>
          <w:rFonts w:ascii="Arial" w:eastAsia="宋体" w:hAnsi="Arial" w:cs="Arial"/>
          <w:kern w:val="0"/>
          <w:sz w:val="24"/>
          <w:szCs w:val="24"/>
        </w:rPr>
        <w:t xml:space="preserve">  </w:t>
      </w:r>
      <w:r w:rsidRPr="000361AB">
        <w:rPr>
          <w:rFonts w:ascii="Arial" w:eastAsia="宋体" w:hAnsi="Arial" w:cs="Arial"/>
          <w:kern w:val="0"/>
          <w:sz w:val="24"/>
          <w:szCs w:val="24"/>
        </w:rPr>
        <w:t>本规则由国家发展改革委会同有关部门负责解释。</w:t>
      </w:r>
    </w:p>
    <w:p w:rsidR="000361AB" w:rsidRPr="000361AB" w:rsidRDefault="000361AB" w:rsidP="000361AB">
      <w:pPr>
        <w:widowControl/>
        <w:shd w:val="clear" w:color="auto" w:fill="FFFFFF"/>
        <w:spacing w:line="500" w:lineRule="exact"/>
        <w:ind w:firstLine="480"/>
        <w:rPr>
          <w:rFonts w:ascii="Arial" w:eastAsia="宋体" w:hAnsi="Arial" w:cs="Arial"/>
          <w:kern w:val="0"/>
          <w:sz w:val="24"/>
          <w:szCs w:val="24"/>
        </w:rPr>
      </w:pPr>
      <w:r w:rsidRPr="000361AB">
        <w:rPr>
          <w:rFonts w:ascii="黑体" w:eastAsia="黑体" w:hAnsi="黑体" w:cs="Arial" w:hint="eastAsia"/>
          <w:kern w:val="0"/>
          <w:sz w:val="24"/>
          <w:szCs w:val="24"/>
        </w:rPr>
        <w:t>第二十二条</w:t>
      </w:r>
      <w:r>
        <w:rPr>
          <w:rFonts w:ascii="Arial" w:eastAsia="宋体" w:hAnsi="Arial" w:cs="Arial"/>
          <w:kern w:val="0"/>
          <w:sz w:val="24"/>
          <w:szCs w:val="24"/>
        </w:rPr>
        <w:t xml:space="preserve">  </w:t>
      </w:r>
      <w:r w:rsidRPr="000361AB">
        <w:rPr>
          <w:rFonts w:ascii="Arial" w:eastAsia="宋体" w:hAnsi="Arial" w:cs="Arial"/>
          <w:kern w:val="0"/>
          <w:sz w:val="24"/>
          <w:szCs w:val="24"/>
        </w:rPr>
        <w:t>本规则自</w:t>
      </w:r>
      <w:r w:rsidRPr="000361AB">
        <w:rPr>
          <w:rFonts w:ascii="Arial" w:eastAsia="宋体" w:hAnsi="Arial" w:cs="Arial"/>
          <w:kern w:val="0"/>
          <w:sz w:val="24"/>
          <w:szCs w:val="24"/>
        </w:rPr>
        <w:t>2024</w:t>
      </w:r>
      <w:r w:rsidRPr="000361AB">
        <w:rPr>
          <w:rFonts w:ascii="Arial" w:eastAsia="宋体" w:hAnsi="Arial" w:cs="Arial"/>
          <w:kern w:val="0"/>
          <w:sz w:val="24"/>
          <w:szCs w:val="24"/>
        </w:rPr>
        <w:t>年</w:t>
      </w:r>
      <w:r w:rsidRPr="000361AB">
        <w:rPr>
          <w:rFonts w:ascii="Arial" w:eastAsia="宋体" w:hAnsi="Arial" w:cs="Arial"/>
          <w:kern w:val="0"/>
          <w:sz w:val="24"/>
          <w:szCs w:val="24"/>
        </w:rPr>
        <w:t>5</w:t>
      </w:r>
      <w:r w:rsidRPr="000361AB">
        <w:rPr>
          <w:rFonts w:ascii="Arial" w:eastAsia="宋体" w:hAnsi="Arial" w:cs="Arial"/>
          <w:kern w:val="0"/>
          <w:sz w:val="24"/>
          <w:szCs w:val="24"/>
        </w:rPr>
        <w:t>月</w:t>
      </w:r>
      <w:r w:rsidRPr="000361AB">
        <w:rPr>
          <w:rFonts w:ascii="Arial" w:eastAsia="宋体" w:hAnsi="Arial" w:cs="Arial"/>
          <w:kern w:val="0"/>
          <w:sz w:val="24"/>
          <w:szCs w:val="24"/>
        </w:rPr>
        <w:t>1</w:t>
      </w:r>
      <w:r w:rsidRPr="000361AB">
        <w:rPr>
          <w:rFonts w:ascii="Arial" w:eastAsia="宋体" w:hAnsi="Arial" w:cs="Arial"/>
          <w:kern w:val="0"/>
          <w:sz w:val="24"/>
          <w:szCs w:val="24"/>
        </w:rPr>
        <w:t>日起施行。</w:t>
      </w:r>
      <w:bookmarkStart w:id="0" w:name="_GoBack"/>
      <w:bookmarkEnd w:id="0"/>
    </w:p>
    <w:p w:rsidR="004572BE" w:rsidRPr="000361AB" w:rsidRDefault="004572BE" w:rsidP="000361AB">
      <w:pPr>
        <w:spacing w:line="500" w:lineRule="exact"/>
      </w:pPr>
    </w:p>
    <w:sectPr w:rsidR="004572BE" w:rsidRPr="000361AB" w:rsidSect="000361AB">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tle">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1AB"/>
    <w:rsid w:val="000361AB"/>
    <w:rsid w:val="00457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361A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361AB"/>
    <w:rPr>
      <w:rFonts w:ascii="宋体" w:eastAsia="宋体" w:hAnsi="宋体" w:cs="宋体"/>
      <w:b/>
      <w:bCs/>
      <w:kern w:val="36"/>
      <w:sz w:val="48"/>
      <w:szCs w:val="48"/>
    </w:rPr>
  </w:style>
  <w:style w:type="paragraph" w:styleId="a3">
    <w:name w:val="Normal (Web)"/>
    <w:basedOn w:val="a"/>
    <w:uiPriority w:val="99"/>
    <w:semiHidden/>
    <w:unhideWhenUsed/>
    <w:rsid w:val="000361AB"/>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361A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361AB"/>
    <w:rPr>
      <w:rFonts w:ascii="宋体" w:eastAsia="宋体" w:hAnsi="宋体" w:cs="宋体"/>
      <w:b/>
      <w:bCs/>
      <w:kern w:val="36"/>
      <w:sz w:val="48"/>
      <w:szCs w:val="48"/>
    </w:rPr>
  </w:style>
  <w:style w:type="paragraph" w:styleId="a3">
    <w:name w:val="Normal (Web)"/>
    <w:basedOn w:val="a"/>
    <w:uiPriority w:val="99"/>
    <w:semiHidden/>
    <w:unhideWhenUsed/>
    <w:rsid w:val="000361A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99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523</Words>
  <Characters>2984</Characters>
  <Application>Microsoft Office Word</Application>
  <DocSecurity>0</DocSecurity>
  <Lines>24</Lines>
  <Paragraphs>6</Paragraphs>
  <ScaleCrop>false</ScaleCrop>
  <Company>mycomputer</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1</cp:revision>
  <dcterms:created xsi:type="dcterms:W3CDTF">2024-12-31T07:16:00Z</dcterms:created>
  <dcterms:modified xsi:type="dcterms:W3CDTF">2024-12-31T07:22:00Z</dcterms:modified>
</cp:coreProperties>
</file>