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F0" w:rsidRDefault="00B13153">
      <w:pPr>
        <w:spacing w:line="360" w:lineRule="auto"/>
        <w:jc w:val="righ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Cs w:val="21"/>
        </w:rPr>
        <w:t>附件</w:t>
      </w:r>
      <w:r>
        <w:rPr>
          <w:rFonts w:ascii="宋体" w:hAnsi="宋体" w:cs="宋体" w:hint="eastAsia"/>
          <w:color w:val="000000"/>
          <w:szCs w:val="21"/>
        </w:rPr>
        <w:t>1</w:t>
      </w:r>
    </w:p>
    <w:p w:rsidR="00F728F0" w:rsidRDefault="00B13153">
      <w:pPr>
        <w:spacing w:line="360" w:lineRule="auto"/>
        <w:jc w:val="center"/>
        <w:outlineLvl w:val="1"/>
        <w:rPr>
          <w:rFonts w:ascii="宋体" w:hAnsi="宋体" w:cs="宋体"/>
          <w:color w:val="000000"/>
          <w:sz w:val="36"/>
          <w:szCs w:val="36"/>
        </w:rPr>
      </w:pPr>
      <w:bookmarkStart w:id="0" w:name="_Toc181"/>
      <w:bookmarkStart w:id="1" w:name="_Toc8841"/>
      <w:r>
        <w:rPr>
          <w:rFonts w:ascii="宋体" w:hAnsi="宋体" w:cs="宋体" w:hint="eastAsia"/>
          <w:b/>
          <w:color w:val="000000"/>
          <w:spacing w:val="20"/>
          <w:sz w:val="36"/>
          <w:szCs w:val="36"/>
        </w:rPr>
        <w:t>二、</w:t>
      </w:r>
      <w:r>
        <w:rPr>
          <w:rFonts w:ascii="宋体" w:hAnsi="宋体" w:cs="宋体" w:hint="eastAsia"/>
          <w:b/>
          <w:color w:val="000000"/>
          <w:spacing w:val="20"/>
          <w:sz w:val="36"/>
          <w:szCs w:val="36"/>
        </w:rPr>
        <w:t>投标一览表</w:t>
      </w:r>
      <w:bookmarkEnd w:id="0"/>
      <w:bookmarkEnd w:id="1"/>
    </w:p>
    <w:p w:rsidR="00F728F0" w:rsidRDefault="00B13153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                                                   </w:t>
      </w:r>
      <w:r>
        <w:rPr>
          <w:rFonts w:ascii="宋体" w:hAnsi="宋体" w:cs="宋体" w:hint="eastAsia"/>
          <w:color w:val="000000"/>
          <w:sz w:val="24"/>
        </w:rPr>
        <w:t>货币单位：人民币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612"/>
        <w:gridCol w:w="1931"/>
        <w:gridCol w:w="1530"/>
        <w:gridCol w:w="960"/>
        <w:gridCol w:w="1200"/>
        <w:gridCol w:w="968"/>
        <w:gridCol w:w="1080"/>
        <w:gridCol w:w="1080"/>
      </w:tblGrid>
      <w:tr w:rsidR="00F728F0">
        <w:trPr>
          <w:cantSplit/>
          <w:trHeight w:val="1013"/>
        </w:trPr>
        <w:tc>
          <w:tcPr>
            <w:tcW w:w="539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合同包</w:t>
            </w:r>
          </w:p>
        </w:tc>
        <w:tc>
          <w:tcPr>
            <w:tcW w:w="612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品目号</w:t>
            </w:r>
          </w:p>
        </w:tc>
        <w:tc>
          <w:tcPr>
            <w:tcW w:w="1931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货物名称</w:t>
            </w:r>
          </w:p>
        </w:tc>
        <w:tc>
          <w:tcPr>
            <w:tcW w:w="1530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品牌</w:t>
            </w:r>
          </w:p>
        </w:tc>
        <w:tc>
          <w:tcPr>
            <w:tcW w:w="960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产地</w:t>
            </w:r>
          </w:p>
        </w:tc>
        <w:tc>
          <w:tcPr>
            <w:tcW w:w="1200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型号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规格</w:t>
            </w: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技术指标</w:t>
            </w:r>
          </w:p>
        </w:tc>
        <w:tc>
          <w:tcPr>
            <w:tcW w:w="968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数量</w:t>
            </w:r>
          </w:p>
        </w:tc>
        <w:tc>
          <w:tcPr>
            <w:tcW w:w="1080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元</w:t>
            </w:r>
            <w:r>
              <w:rPr>
                <w:rFonts w:ascii="宋体" w:hAnsi="宋体" w:cs="宋体" w:hint="eastAsia"/>
                <w:color w:val="000000"/>
                <w:sz w:val="24"/>
              </w:rPr>
              <w:t>)</w:t>
            </w:r>
          </w:p>
        </w:tc>
        <w:tc>
          <w:tcPr>
            <w:tcW w:w="1080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总价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元</w:t>
            </w:r>
            <w:r>
              <w:rPr>
                <w:rFonts w:ascii="宋体" w:hAnsi="宋体" w:cs="宋体" w:hint="eastAsia"/>
                <w:color w:val="000000"/>
                <w:sz w:val="24"/>
              </w:rPr>
              <w:t>)</w:t>
            </w:r>
          </w:p>
        </w:tc>
      </w:tr>
      <w:tr w:rsidR="00F728F0">
        <w:trPr>
          <w:cantSplit/>
          <w:trHeight w:val="606"/>
        </w:trPr>
        <w:tc>
          <w:tcPr>
            <w:tcW w:w="539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612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931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医用电子功能仪</w:t>
            </w:r>
          </w:p>
        </w:tc>
        <w:tc>
          <w:tcPr>
            <w:tcW w:w="1530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河南迈松医用设备制造有限公司</w:t>
            </w:r>
          </w:p>
        </w:tc>
        <w:tc>
          <w:tcPr>
            <w:tcW w:w="960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河南</w:t>
            </w:r>
          </w:p>
        </w:tc>
        <w:tc>
          <w:tcPr>
            <w:tcW w:w="1200" w:type="dxa"/>
            <w:vAlign w:val="center"/>
          </w:tcPr>
          <w:p w:rsidR="00F728F0" w:rsidRDefault="00B1315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MSP</w:t>
            </w:r>
            <w:r>
              <w:rPr>
                <w:rFonts w:ascii="宋体" w:hAnsi="宋体" w:cs="宋体" w:hint="eastAsia"/>
                <w:color w:val="000000"/>
                <w:sz w:val="24"/>
              </w:rPr>
              <w:t>F</w:t>
            </w:r>
            <w:r>
              <w:rPr>
                <w:rFonts w:ascii="宋体" w:hAnsi="宋体" w:cs="宋体" w:hint="eastAsia"/>
                <w:color w:val="000000"/>
                <w:sz w:val="24"/>
              </w:rPr>
              <w:t>T-B</w:t>
            </w:r>
          </w:p>
        </w:tc>
        <w:tc>
          <w:tcPr>
            <w:tcW w:w="968" w:type="dxa"/>
            <w:vAlign w:val="center"/>
          </w:tcPr>
          <w:p w:rsidR="00F728F0" w:rsidRDefault="00B1315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28F0" w:rsidRDefault="00B1315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40580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28F0" w:rsidRDefault="00B1315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40580</w:t>
            </w:r>
          </w:p>
        </w:tc>
      </w:tr>
      <w:tr w:rsidR="00F728F0">
        <w:trPr>
          <w:cantSplit/>
          <w:trHeight w:val="606"/>
        </w:trPr>
        <w:tc>
          <w:tcPr>
            <w:tcW w:w="539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612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931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3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96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20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968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 w:rsidR="00F728F0">
        <w:trPr>
          <w:cantSplit/>
          <w:trHeight w:val="606"/>
        </w:trPr>
        <w:tc>
          <w:tcPr>
            <w:tcW w:w="539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612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931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3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96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20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968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 w:rsidR="00F728F0">
        <w:trPr>
          <w:cantSplit/>
          <w:trHeight w:val="606"/>
        </w:trPr>
        <w:tc>
          <w:tcPr>
            <w:tcW w:w="539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612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931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3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96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20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968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 w:rsidR="00F728F0">
        <w:trPr>
          <w:cantSplit/>
          <w:trHeight w:val="611"/>
        </w:trPr>
        <w:tc>
          <w:tcPr>
            <w:tcW w:w="539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2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31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8" w:type="dxa"/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28F0" w:rsidRDefault="00F728F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728F0">
        <w:trPr>
          <w:cantSplit/>
          <w:trHeight w:val="607"/>
        </w:trPr>
        <w:tc>
          <w:tcPr>
            <w:tcW w:w="3082" w:type="dxa"/>
            <w:gridSpan w:val="3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投标总价（大写）</w:t>
            </w:r>
          </w:p>
        </w:tc>
        <w:tc>
          <w:tcPr>
            <w:tcW w:w="4658" w:type="dxa"/>
            <w:gridSpan w:val="4"/>
            <w:vAlign w:val="center"/>
          </w:tcPr>
          <w:p w:rsidR="00F728F0" w:rsidRDefault="00B1315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肆万零伍佰捌拾元整</w:t>
            </w:r>
          </w:p>
        </w:tc>
        <w:tc>
          <w:tcPr>
            <w:tcW w:w="2160" w:type="dxa"/>
            <w:gridSpan w:val="2"/>
            <w:vAlign w:val="center"/>
          </w:tcPr>
          <w:p w:rsidR="00F728F0" w:rsidRDefault="00B1315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小写：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40580</w:t>
            </w:r>
          </w:p>
        </w:tc>
      </w:tr>
    </w:tbl>
    <w:p w:rsidR="00F728F0" w:rsidRDefault="00F728F0">
      <w:pPr>
        <w:tabs>
          <w:tab w:val="left" w:pos="13000"/>
        </w:tabs>
        <w:spacing w:line="360" w:lineRule="auto"/>
        <w:rPr>
          <w:rFonts w:ascii="宋体" w:hAnsi="宋体" w:cs="宋体"/>
          <w:color w:val="000000"/>
          <w:sz w:val="24"/>
        </w:rPr>
      </w:pPr>
    </w:p>
    <w:p w:rsidR="00F728F0" w:rsidRDefault="00F728F0">
      <w:pPr>
        <w:tabs>
          <w:tab w:val="left" w:pos="13000"/>
        </w:tabs>
        <w:spacing w:line="360" w:lineRule="auto"/>
        <w:rPr>
          <w:rFonts w:ascii="宋体" w:hAnsi="宋体" w:cs="宋体"/>
          <w:color w:val="000000"/>
          <w:sz w:val="24"/>
        </w:rPr>
      </w:pPr>
    </w:p>
    <w:p w:rsidR="00F728F0" w:rsidRDefault="00F728F0">
      <w:pPr>
        <w:tabs>
          <w:tab w:val="left" w:pos="13000"/>
        </w:tabs>
        <w:spacing w:line="360" w:lineRule="auto"/>
        <w:rPr>
          <w:rFonts w:ascii="宋体" w:hAnsi="宋体" w:cs="宋体"/>
          <w:color w:val="000000"/>
          <w:sz w:val="24"/>
        </w:rPr>
      </w:pPr>
    </w:p>
    <w:p w:rsidR="00F728F0" w:rsidRDefault="00F728F0">
      <w:pPr>
        <w:spacing w:line="360" w:lineRule="auto"/>
        <w:ind w:firstLineChars="1650" w:firstLine="3960"/>
        <w:rPr>
          <w:rFonts w:ascii="宋体" w:hAnsi="宋体" w:cs="宋体"/>
          <w:color w:val="000000"/>
          <w:sz w:val="24"/>
        </w:rPr>
      </w:pPr>
    </w:p>
    <w:p w:rsidR="00F728F0" w:rsidRDefault="00F728F0">
      <w:pPr>
        <w:spacing w:line="360" w:lineRule="auto"/>
        <w:ind w:firstLineChars="1650" w:firstLine="3960"/>
        <w:rPr>
          <w:rFonts w:ascii="宋体" w:hAnsi="宋体" w:cs="宋体"/>
          <w:color w:val="000000"/>
          <w:sz w:val="24"/>
        </w:rPr>
      </w:pPr>
    </w:p>
    <w:p w:rsidR="00F728F0" w:rsidRDefault="00F728F0">
      <w:pPr>
        <w:tabs>
          <w:tab w:val="left" w:pos="5355"/>
        </w:tabs>
        <w:spacing w:line="360" w:lineRule="auto"/>
        <w:jc w:val="center"/>
        <w:rPr>
          <w:rFonts w:ascii="宋体" w:hAnsi="宋体" w:cs="宋体"/>
          <w:color w:val="000000"/>
          <w:sz w:val="24"/>
          <w:u w:val="single"/>
        </w:rPr>
      </w:pPr>
      <w:bookmarkStart w:id="2" w:name="_GoBack"/>
      <w:bookmarkEnd w:id="2"/>
    </w:p>
    <w:p w:rsidR="00F728F0" w:rsidRDefault="00B13153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p w:rsidR="00F728F0" w:rsidRDefault="00B13153">
      <w:pPr>
        <w:tabs>
          <w:tab w:val="left" w:pos="5355"/>
        </w:tabs>
        <w:wordWrap w:val="0"/>
        <w:spacing w:line="360" w:lineRule="auto"/>
        <w:jc w:val="righ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附件</w:t>
      </w:r>
      <w:r>
        <w:rPr>
          <w:rFonts w:ascii="宋体" w:hAnsi="宋体" w:cs="宋体" w:hint="eastAsia"/>
          <w:color w:val="000000"/>
          <w:szCs w:val="21"/>
        </w:rPr>
        <w:t>2</w:t>
      </w:r>
    </w:p>
    <w:p w:rsidR="00F728F0" w:rsidRDefault="00B13153">
      <w:pPr>
        <w:spacing w:line="360" w:lineRule="auto"/>
        <w:jc w:val="center"/>
        <w:outlineLvl w:val="1"/>
        <w:rPr>
          <w:rFonts w:ascii="宋体" w:hAnsi="宋体" w:cs="宋体"/>
          <w:color w:val="000000"/>
          <w:sz w:val="24"/>
        </w:rPr>
      </w:pPr>
      <w:bookmarkStart w:id="3" w:name="_Toc11140"/>
      <w:bookmarkStart w:id="4" w:name="_Toc14371"/>
      <w:r>
        <w:rPr>
          <w:rFonts w:ascii="宋体" w:hAnsi="宋体" w:cs="宋体" w:hint="eastAsia"/>
          <w:b/>
          <w:color w:val="000000"/>
          <w:sz w:val="36"/>
        </w:rPr>
        <w:t>三、</w:t>
      </w:r>
      <w:r>
        <w:rPr>
          <w:rFonts w:ascii="宋体" w:hAnsi="宋体" w:cs="宋体" w:hint="eastAsia"/>
          <w:b/>
          <w:color w:val="000000"/>
          <w:sz w:val="36"/>
        </w:rPr>
        <w:t>货物</w:t>
      </w:r>
      <w:r>
        <w:rPr>
          <w:rFonts w:ascii="宋体" w:hAnsi="宋体" w:cs="宋体" w:hint="eastAsia"/>
          <w:b/>
          <w:color w:val="000000"/>
          <w:sz w:val="36"/>
        </w:rPr>
        <w:t>/</w:t>
      </w:r>
      <w:r>
        <w:rPr>
          <w:rFonts w:ascii="宋体" w:hAnsi="宋体" w:cs="宋体" w:hint="eastAsia"/>
          <w:b/>
          <w:color w:val="000000"/>
          <w:sz w:val="36"/>
        </w:rPr>
        <w:t>服务</w:t>
      </w:r>
      <w:r>
        <w:rPr>
          <w:rFonts w:ascii="宋体" w:hAnsi="宋体" w:cs="宋体" w:hint="eastAsia"/>
          <w:b/>
          <w:color w:val="000000"/>
          <w:sz w:val="36"/>
        </w:rPr>
        <w:t>说明一览表</w:t>
      </w:r>
      <w:bookmarkEnd w:id="3"/>
      <w:bookmarkEnd w:id="4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804"/>
        <w:gridCol w:w="1200"/>
        <w:gridCol w:w="1980"/>
        <w:gridCol w:w="1365"/>
        <w:gridCol w:w="1275"/>
        <w:gridCol w:w="747"/>
        <w:gridCol w:w="1121"/>
      </w:tblGrid>
      <w:tr w:rsidR="00F728F0">
        <w:trPr>
          <w:trHeight w:val="789"/>
        </w:trPr>
        <w:tc>
          <w:tcPr>
            <w:tcW w:w="1228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合同包号</w:t>
            </w:r>
          </w:p>
        </w:tc>
        <w:tc>
          <w:tcPr>
            <w:tcW w:w="804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包一</w:t>
            </w:r>
          </w:p>
        </w:tc>
        <w:tc>
          <w:tcPr>
            <w:tcW w:w="1200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货物名称</w:t>
            </w:r>
          </w:p>
        </w:tc>
        <w:tc>
          <w:tcPr>
            <w:tcW w:w="1980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医用电子功能仪</w:t>
            </w:r>
          </w:p>
        </w:tc>
        <w:tc>
          <w:tcPr>
            <w:tcW w:w="1365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MSP</w:t>
            </w:r>
            <w:r>
              <w:rPr>
                <w:rFonts w:ascii="宋体" w:hAnsi="宋体" w:cs="宋体" w:hint="eastAsia"/>
                <w:color w:val="000000"/>
                <w:sz w:val="24"/>
              </w:rPr>
              <w:t>F</w:t>
            </w:r>
            <w:r>
              <w:rPr>
                <w:rFonts w:ascii="宋体" w:hAnsi="宋体" w:cs="宋体" w:hint="eastAsia"/>
                <w:color w:val="000000"/>
                <w:sz w:val="24"/>
              </w:rPr>
              <w:t>T-B</w:t>
            </w:r>
          </w:p>
        </w:tc>
        <w:tc>
          <w:tcPr>
            <w:tcW w:w="747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数量</w:t>
            </w:r>
          </w:p>
        </w:tc>
        <w:tc>
          <w:tcPr>
            <w:tcW w:w="1121" w:type="dxa"/>
            <w:vAlign w:val="center"/>
          </w:tcPr>
          <w:p w:rsidR="00F728F0" w:rsidRDefault="00B1315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</w:tr>
      <w:tr w:rsidR="00F728F0">
        <w:trPr>
          <w:cantSplit/>
          <w:trHeight w:val="5262"/>
        </w:trPr>
        <w:tc>
          <w:tcPr>
            <w:tcW w:w="9720" w:type="dxa"/>
            <w:gridSpan w:val="8"/>
          </w:tcPr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详细性能说明</w:t>
            </w:r>
            <w:r>
              <w:rPr>
                <w:rFonts w:ascii="宋体" w:hAnsi="宋体" w:hint="eastAsia"/>
                <w:sz w:val="24"/>
              </w:rPr>
              <w:t>★采用数字化超声波传感一体化技术，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与病人无接触，减少交叉感染，同时无需使用者频繁校准。</w:t>
            </w:r>
          </w:p>
          <w:p w:rsidR="00F728F0" w:rsidRDefault="00B1315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bCs/>
                <w:sz w:val="24"/>
              </w:rPr>
              <w:t>测量患者用力肺活量（</w:t>
            </w:r>
            <w:r>
              <w:rPr>
                <w:rFonts w:ascii="宋体" w:hAnsi="宋体" w:hint="eastAsia"/>
                <w:bCs/>
                <w:sz w:val="24"/>
              </w:rPr>
              <w:t>FVC</w:t>
            </w:r>
            <w:r>
              <w:rPr>
                <w:rFonts w:ascii="宋体" w:hAnsi="宋体" w:hint="eastAsia"/>
                <w:bCs/>
                <w:sz w:val="24"/>
              </w:rPr>
              <w:t>），肺活量（</w:t>
            </w:r>
            <w:r>
              <w:rPr>
                <w:rFonts w:ascii="宋体" w:hAnsi="宋体" w:hint="eastAsia"/>
                <w:bCs/>
                <w:sz w:val="24"/>
              </w:rPr>
              <w:t>VC</w:t>
            </w:r>
            <w:r>
              <w:rPr>
                <w:rFonts w:ascii="宋体" w:hAnsi="宋体" w:hint="eastAsia"/>
                <w:bCs/>
                <w:sz w:val="24"/>
              </w:rPr>
              <w:t>），最大自主通气量（</w:t>
            </w:r>
            <w:r>
              <w:rPr>
                <w:rFonts w:ascii="宋体" w:hAnsi="宋体" w:hint="eastAsia"/>
                <w:bCs/>
                <w:sz w:val="24"/>
              </w:rPr>
              <w:t>MVV</w:t>
            </w:r>
            <w:r>
              <w:rPr>
                <w:rFonts w:ascii="宋体" w:hAnsi="宋体" w:hint="eastAsia"/>
                <w:bCs/>
                <w:sz w:val="24"/>
              </w:rPr>
              <w:t>），每分钟通气量（</w:t>
            </w:r>
            <w:r>
              <w:rPr>
                <w:rFonts w:ascii="宋体" w:hAnsi="宋体" w:hint="eastAsia"/>
                <w:bCs/>
                <w:sz w:val="24"/>
              </w:rPr>
              <w:t>MV</w:t>
            </w:r>
            <w:r>
              <w:rPr>
                <w:rFonts w:ascii="宋体" w:hAnsi="宋体" w:hint="eastAsia"/>
                <w:bCs/>
                <w:sz w:val="24"/>
              </w:rPr>
              <w:t>），外推容积</w:t>
            </w:r>
            <w:r>
              <w:rPr>
                <w:rFonts w:ascii="宋体" w:hAnsi="宋体"/>
                <w:bCs/>
                <w:sz w:val="24"/>
              </w:rPr>
              <w:t>EV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★内置温度传感器模块，不受污染物、温度、湿度和水滴的影响，实时的</w:t>
            </w:r>
            <w:r>
              <w:rPr>
                <w:rFonts w:ascii="宋体" w:hAnsi="宋体"/>
                <w:sz w:val="24"/>
              </w:rPr>
              <w:t>BTPS</w:t>
            </w:r>
            <w:r>
              <w:rPr>
                <w:rFonts w:ascii="宋体" w:hAnsi="宋体" w:hint="eastAsia"/>
                <w:sz w:val="24"/>
              </w:rPr>
              <w:t>补偿。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★无按键全触屏设计，可调节的倾斜角度，易于操作的人机交互界面。。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★配置中国人预计值公式，更加符合国人的肺功能回归方程式，使测量结果更加准确。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测量结果精准：直接对流量进行测试计算，动态范围大并且无非线性失真，特别地对微弱呼吸气流（小流量）能精准测量；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全开放式传感器通道，没有公用呼吸回路，便于肺部呼吸带出的飞沫及其它分泌物通过，减少积聚，减少二次感染几率，可以用于婴儿、儿童及成人。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吹管内无任何障碍，呼吸无阻力（阻力近似为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），死腔体积小，且有多种组合结构，可适用不同场合需求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声光提示，设备除了有语音提示，还配备了高亮度蓝色</w:t>
            </w:r>
            <w:r>
              <w:rPr>
                <w:rFonts w:ascii="宋体" w:hAnsi="宋体" w:hint="eastAsia"/>
                <w:sz w:val="24"/>
              </w:rPr>
              <w:t>LED</w:t>
            </w:r>
            <w:r>
              <w:rPr>
                <w:rFonts w:ascii="宋体" w:hAnsi="宋体" w:hint="eastAsia"/>
                <w:sz w:val="24"/>
              </w:rPr>
              <w:t>灯，用于提示使用者吹气，并帮助使用者及指导者在户外（例如基层体检场所）掌握吸气呼气的时机，已帮助正确使用设备。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便携轻巧，</w:t>
            </w:r>
            <w:r>
              <w:rPr>
                <w:rFonts w:ascii="宋体" w:hAnsi="宋体" w:hint="eastAsia"/>
                <w:color w:val="000000"/>
                <w:sz w:val="24"/>
              </w:rPr>
              <w:t>全重</w:t>
            </w:r>
            <w:r>
              <w:rPr>
                <w:rFonts w:ascii="宋体" w:hAnsi="宋体" w:hint="eastAsia"/>
                <w:color w:val="000000"/>
                <w:sz w:val="24"/>
              </w:rPr>
              <w:t>800</w:t>
            </w:r>
            <w:r>
              <w:rPr>
                <w:rFonts w:ascii="宋体" w:hAnsi="宋体" w:hint="eastAsia"/>
                <w:color w:val="000000"/>
                <w:sz w:val="24"/>
              </w:rPr>
              <w:t>克，方便携带，为医生护士查房、社区慢病管理以及居家使用带来极大便利。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蓝牙连接高分辨率热敏打印机，可随时随地打印测试报告，方便临床应用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内置大容量存储器，可存储</w:t>
            </w:r>
            <w:r>
              <w:rPr>
                <w:rFonts w:ascii="宋体" w:hAnsi="宋体"/>
                <w:bCs/>
                <w:color w:val="000000"/>
                <w:sz w:val="24"/>
              </w:rPr>
              <w:t>2000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位以上患者信息，并且可与将信息导入</w:t>
            </w:r>
            <w:r>
              <w:rPr>
                <w:rFonts w:ascii="宋体" w:hAnsi="宋体"/>
                <w:bCs/>
                <w:color w:val="000000"/>
                <w:sz w:val="24"/>
              </w:rPr>
              <w:t>PC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端存储。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流速：</w:t>
            </w:r>
            <w:r>
              <w:rPr>
                <w:rFonts w:ascii="宋体" w:hAnsi="宋体" w:hint="eastAsia"/>
                <w:sz w:val="24"/>
              </w:rPr>
              <w:t>0-16</w:t>
            </w:r>
            <w:r>
              <w:rPr>
                <w:rFonts w:ascii="宋体" w:hAnsi="宋体" w:hint="eastAsia"/>
                <w:sz w:val="24"/>
              </w:rPr>
              <w:t>升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秒</w:t>
            </w:r>
          </w:p>
          <w:p w:rsidR="00F728F0" w:rsidRDefault="00B13153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容量：</w:t>
            </w:r>
            <w:r>
              <w:rPr>
                <w:rFonts w:ascii="宋体" w:hAnsi="宋体" w:hint="eastAsia"/>
                <w:sz w:val="24"/>
              </w:rPr>
              <w:t>0-15</w:t>
            </w:r>
            <w:r>
              <w:rPr>
                <w:rFonts w:ascii="宋体" w:hAnsi="宋体" w:hint="eastAsia"/>
                <w:sz w:val="24"/>
              </w:rPr>
              <w:t>升</w:t>
            </w:r>
          </w:p>
          <w:p w:rsidR="00F728F0" w:rsidRDefault="00B131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配置：主机、充电器、便携包、吹气嘴、软件、连接线</w:t>
            </w:r>
          </w:p>
        </w:tc>
      </w:tr>
    </w:tbl>
    <w:p w:rsidR="00F728F0" w:rsidRDefault="00F728F0">
      <w:pPr>
        <w:rPr>
          <w:b/>
          <w:bCs/>
        </w:rPr>
      </w:pPr>
    </w:p>
    <w:sectPr w:rsidR="00F728F0" w:rsidSect="00F728F0">
      <w:footerReference w:type="default" r:id="rId8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8F0" w:rsidRDefault="00F728F0" w:rsidP="00F728F0">
      <w:r>
        <w:separator/>
      </w:r>
    </w:p>
  </w:endnote>
  <w:endnote w:type="continuationSeparator" w:id="1">
    <w:p w:rsidR="00F728F0" w:rsidRDefault="00F728F0" w:rsidP="00F72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8F0" w:rsidRDefault="00F728F0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 filled="f" stroked="f" strokeweight=".5pt">
          <v:textbox style="mso-fit-shape-to-text:t" inset="0,0,0,0">
            <w:txbxContent>
              <w:p w:rsidR="00F728F0" w:rsidRDefault="00F728F0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B1315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1315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8F0" w:rsidRDefault="00F728F0" w:rsidP="00F728F0">
      <w:r>
        <w:separator/>
      </w:r>
    </w:p>
  </w:footnote>
  <w:footnote w:type="continuationSeparator" w:id="1">
    <w:p w:rsidR="00F728F0" w:rsidRDefault="00F728F0" w:rsidP="00F72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64C3D9"/>
    <w:multiLevelType w:val="singleLevel"/>
    <w:tmpl w:val="9F64C3D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）"/>
      <w:lvlJc w:val="left"/>
      <w:pPr>
        <w:ind w:left="0" w:firstLine="0"/>
      </w:pPr>
      <w:rPr>
        <w:rFonts w:ascii="宋体" w:eastAsia="宋体" w:hAnsi="宋体" w:cs="Times New Roman"/>
        <w:sz w:val="24"/>
        <w:szCs w:val="24"/>
      </w:rPr>
    </w:lvl>
    <w:lvl w:ilvl="1">
      <w:start w:val="1"/>
      <w:numFmt w:val="upperLetter"/>
      <w:pStyle w:val="2"/>
      <w:suff w:val="nothing"/>
      <w:lvlText w:val="%2"/>
      <w:lvlJc w:val="left"/>
      <w:pPr>
        <w:ind w:left="0" w:firstLine="0"/>
      </w:pPr>
      <w:rPr>
        <w:rFonts w:ascii="CG Times" w:hAnsi="CG Times" w:hint="default"/>
        <w:b/>
        <w:i w:val="0"/>
        <w:sz w:val="28"/>
      </w:rPr>
    </w:lvl>
    <w:lvl w:ilvl="2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ascii="宋体" w:eastAsia="宋体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0D3C630A"/>
    <w:multiLevelType w:val="singleLevel"/>
    <w:tmpl w:val="0D3C630A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16467F6"/>
    <w:multiLevelType w:val="multilevel"/>
    <w:tmpl w:val="416467F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491E16"/>
    <w:rsid w:val="00381FC2"/>
    <w:rsid w:val="00B13153"/>
    <w:rsid w:val="00F728F0"/>
    <w:rsid w:val="01E22462"/>
    <w:rsid w:val="11491E16"/>
    <w:rsid w:val="11AA6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Normal Inden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728F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728F0"/>
    <w:pPr>
      <w:keepNext/>
      <w:keepLines/>
      <w:numPr>
        <w:ilvl w:val="1"/>
        <w:numId w:val="1"/>
      </w:numPr>
      <w:spacing w:line="413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F728F0"/>
    <w:pPr>
      <w:ind w:firstLine="420"/>
    </w:pPr>
    <w:rPr>
      <w:szCs w:val="20"/>
    </w:rPr>
  </w:style>
  <w:style w:type="paragraph" w:styleId="a4">
    <w:name w:val="Closing"/>
    <w:basedOn w:val="a"/>
    <w:rsid w:val="00F728F0"/>
    <w:pPr>
      <w:ind w:leftChars="2100" w:left="100"/>
    </w:pPr>
  </w:style>
  <w:style w:type="paragraph" w:styleId="3">
    <w:name w:val="toc 3"/>
    <w:basedOn w:val="a"/>
    <w:next w:val="a"/>
    <w:rsid w:val="00F728F0"/>
    <w:pPr>
      <w:ind w:leftChars="400" w:left="840"/>
    </w:pPr>
  </w:style>
  <w:style w:type="paragraph" w:styleId="a5">
    <w:name w:val="Plain Text"/>
    <w:basedOn w:val="a"/>
    <w:qFormat/>
    <w:rsid w:val="00F728F0"/>
    <w:rPr>
      <w:rFonts w:ascii="宋体" w:hAnsi="Courier New"/>
      <w:szCs w:val="20"/>
    </w:rPr>
  </w:style>
  <w:style w:type="paragraph" w:styleId="a6">
    <w:name w:val="footer"/>
    <w:basedOn w:val="a"/>
    <w:rsid w:val="00F728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F728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  <w:rsid w:val="00F728F0"/>
  </w:style>
  <w:style w:type="paragraph" w:styleId="20">
    <w:name w:val="toc 2"/>
    <w:basedOn w:val="a"/>
    <w:next w:val="a"/>
    <w:qFormat/>
    <w:rsid w:val="00F728F0"/>
    <w:pPr>
      <w:ind w:leftChars="200" w:left="420"/>
    </w:pPr>
  </w:style>
  <w:style w:type="paragraph" w:styleId="a8">
    <w:name w:val="Normal (Web)"/>
    <w:basedOn w:val="a"/>
    <w:qFormat/>
    <w:rsid w:val="00F728F0"/>
    <w:rPr>
      <w:sz w:val="24"/>
    </w:rPr>
  </w:style>
  <w:style w:type="character" w:styleId="a9">
    <w:name w:val="Strong"/>
    <w:basedOn w:val="a0"/>
    <w:qFormat/>
    <w:rsid w:val="00F728F0"/>
    <w:rPr>
      <w:b/>
      <w:sz w:val="24"/>
      <w:szCs w:val="24"/>
    </w:rPr>
  </w:style>
  <w:style w:type="character" w:styleId="aa">
    <w:name w:val="Emphasis"/>
    <w:basedOn w:val="a0"/>
    <w:qFormat/>
    <w:rsid w:val="00F728F0"/>
    <w:rPr>
      <w:color w:val="CC0000"/>
      <w:sz w:val="24"/>
      <w:szCs w:val="24"/>
    </w:rPr>
  </w:style>
  <w:style w:type="character" w:styleId="ab">
    <w:name w:val="Hyperlink"/>
    <w:basedOn w:val="a0"/>
    <w:qFormat/>
    <w:rsid w:val="00F728F0"/>
    <w:rPr>
      <w:color w:val="0000FF"/>
      <w:u w:val="single"/>
    </w:rPr>
  </w:style>
  <w:style w:type="character" w:styleId="HTML">
    <w:name w:val="HTML Cite"/>
    <w:basedOn w:val="a0"/>
    <w:qFormat/>
    <w:rsid w:val="00F728F0"/>
    <w:rPr>
      <w:sz w:val="24"/>
      <w:szCs w:val="24"/>
    </w:rPr>
  </w:style>
  <w:style w:type="paragraph" w:customStyle="1" w:styleId="30">
    <w:name w:val="样式3"/>
    <w:basedOn w:val="a5"/>
    <w:qFormat/>
    <w:rsid w:val="00F728F0"/>
    <w:pPr>
      <w:spacing w:line="0" w:lineRule="atLeast"/>
      <w:outlineLvl w:val="0"/>
    </w:pPr>
    <w:rPr>
      <w:sz w:val="28"/>
    </w:rPr>
  </w:style>
  <w:style w:type="paragraph" w:styleId="ac">
    <w:name w:val="Balloon Text"/>
    <w:basedOn w:val="a"/>
    <w:link w:val="Char"/>
    <w:rsid w:val="00B13153"/>
    <w:rPr>
      <w:sz w:val="18"/>
      <w:szCs w:val="18"/>
    </w:rPr>
  </w:style>
  <w:style w:type="character" w:customStyle="1" w:styleId="Char">
    <w:name w:val="批注框文本 Char"/>
    <w:basedOn w:val="a0"/>
    <w:link w:val="ac"/>
    <w:rsid w:val="00B131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757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珊珊啊</dc:creator>
  <cp:lastModifiedBy>Users</cp:lastModifiedBy>
  <cp:revision>2</cp:revision>
  <cp:lastPrinted>2020-11-26T16:27:00Z</cp:lastPrinted>
  <dcterms:created xsi:type="dcterms:W3CDTF">2020-11-26T09:52:00Z</dcterms:created>
  <dcterms:modified xsi:type="dcterms:W3CDTF">2020-11-30T00:51:00Z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